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7974" w:rsidRPr="00A24C5F" w:rsidRDefault="008A7974" w:rsidP="008A7974">
      <w:pPr>
        <w:spacing w:before="240" w:after="240" w:line="276" w:lineRule="auto"/>
        <w:jc w:val="center"/>
        <w:rPr>
          <w:rFonts w:ascii="Georgia" w:eastAsia="Times New Roman" w:hAnsi="Georgia"/>
          <w:b/>
          <w:sz w:val="24"/>
          <w:szCs w:val="24"/>
        </w:rPr>
      </w:pPr>
      <w:r w:rsidRPr="00A24C5F">
        <w:rPr>
          <w:rFonts w:ascii="Georgia" w:eastAsia="Times New Roman" w:hAnsi="Georgia"/>
          <w:b/>
          <w:sz w:val="24"/>
          <w:szCs w:val="24"/>
        </w:rPr>
        <w:t>Shakespeare in Woodcuts: A Study of Select Illustrations from The Cranach Pre</w:t>
      </w:r>
      <w:r w:rsidRPr="00A24C5F">
        <w:rPr>
          <w:rFonts w:ascii="Georgia" w:eastAsia="Times New Roman" w:hAnsi="Georgia"/>
          <w:b/>
          <w:i/>
          <w:sz w:val="24"/>
          <w:szCs w:val="24"/>
        </w:rPr>
        <w:t xml:space="preserve">ss Hamlet </w:t>
      </w:r>
      <w:r w:rsidRPr="00A24C5F">
        <w:rPr>
          <w:rFonts w:ascii="Georgia" w:eastAsia="Times New Roman" w:hAnsi="Georgia"/>
          <w:b/>
          <w:sz w:val="24"/>
          <w:szCs w:val="24"/>
        </w:rPr>
        <w:t>(1928, 1930)</w:t>
      </w:r>
    </w:p>
    <w:p w:rsidR="008A7974" w:rsidRPr="00E24CF4" w:rsidRDefault="008A7974" w:rsidP="008A7974">
      <w:pPr>
        <w:spacing w:line="360" w:lineRule="auto"/>
        <w:jc w:val="right"/>
        <w:rPr>
          <w:rFonts w:ascii="Georgia" w:eastAsia="Times New Roman" w:hAnsi="Georgia"/>
          <w:b/>
        </w:rPr>
      </w:pPr>
      <w:r w:rsidRPr="00E24CF4">
        <w:rPr>
          <w:rFonts w:ascii="Georgia" w:eastAsia="Times New Roman" w:hAnsi="Georgia"/>
          <w:b/>
        </w:rPr>
        <w:t>Aabrita Dutta Gupta</w:t>
      </w:r>
    </w:p>
    <w:p w:rsidR="008A7974" w:rsidRPr="00A24C5F" w:rsidRDefault="008A7974" w:rsidP="008A7974">
      <w:pPr>
        <w:spacing w:line="360" w:lineRule="auto"/>
        <w:jc w:val="right"/>
        <w:rPr>
          <w:rFonts w:ascii="Georgia" w:eastAsia="Times New Roman" w:hAnsi="Georgia"/>
        </w:rPr>
      </w:pPr>
      <w:r w:rsidRPr="00A24C5F">
        <w:rPr>
          <w:rFonts w:ascii="Georgia" w:eastAsia="Times New Roman" w:hAnsi="Georgia"/>
        </w:rPr>
        <w:t>Department of English</w:t>
      </w:r>
    </w:p>
    <w:p w:rsidR="008A7974" w:rsidRDefault="008A7974" w:rsidP="008A7974">
      <w:pPr>
        <w:spacing w:line="360" w:lineRule="auto"/>
        <w:jc w:val="right"/>
        <w:rPr>
          <w:rFonts w:ascii="Georgia" w:eastAsia="Times New Roman" w:hAnsi="Georgia"/>
        </w:rPr>
      </w:pPr>
      <w:r w:rsidRPr="00A24C5F">
        <w:rPr>
          <w:rFonts w:ascii="Georgia" w:eastAsia="Times New Roman" w:hAnsi="Georgia"/>
        </w:rPr>
        <w:t>Bankura University</w:t>
      </w:r>
    </w:p>
    <w:p w:rsidR="008A7974" w:rsidRPr="00E24CF4" w:rsidRDefault="008A7974" w:rsidP="008A7974">
      <w:pPr>
        <w:spacing w:line="360" w:lineRule="auto"/>
        <w:jc w:val="right"/>
        <w:rPr>
          <w:rFonts w:ascii="Georgia" w:eastAsia="Times New Roman" w:hAnsi="Georgia"/>
        </w:rPr>
      </w:pPr>
      <w:r w:rsidRPr="00E24CF4">
        <w:rPr>
          <w:rFonts w:ascii="Georgia" w:hAnsi="Georgia"/>
        </w:rPr>
        <w:t>Email: aabrita22@gmail.c</w:t>
      </w:r>
      <w:bookmarkStart w:id="0" w:name="_GoBack"/>
      <w:bookmarkEnd w:id="0"/>
      <w:r w:rsidRPr="00E24CF4">
        <w:rPr>
          <w:rFonts w:ascii="Georgia" w:hAnsi="Georgia"/>
        </w:rPr>
        <w:t>om</w:t>
      </w:r>
    </w:p>
    <w:p w:rsidR="008A7974" w:rsidRPr="00A24C5F" w:rsidRDefault="008A7974" w:rsidP="008A7974">
      <w:pPr>
        <w:spacing w:line="360" w:lineRule="auto"/>
        <w:jc w:val="right"/>
        <w:rPr>
          <w:rFonts w:ascii="Georgia" w:eastAsia="Times New Roman" w:hAnsi="Georgia"/>
        </w:rPr>
      </w:pPr>
    </w:p>
    <w:p w:rsidR="008A7974" w:rsidRPr="00E24CF4" w:rsidRDefault="008A7974" w:rsidP="008A7974">
      <w:pPr>
        <w:spacing w:line="360" w:lineRule="auto"/>
        <w:rPr>
          <w:rFonts w:ascii="Georgia" w:hAnsi="Georgia"/>
        </w:rPr>
      </w:pPr>
      <w:r w:rsidRPr="00E24CF4">
        <w:rPr>
          <w:rFonts w:ascii="Georgia" w:hAnsi="Georgia"/>
        </w:rPr>
        <w:t>Aabrita Dutta Gupta is a researcher on Shakespeare in the Indian academia as a Doctoral fellow from the Department of English, Bankura University, West Bengal, India. She completed her M.Phil degree on Shakespeare and the Renaissance from the Department of English and Culture Studies, Universty of Burdwan, West Bnegal, India. Her research interests include Shakespeare and the Renaissance and Shakespeare in the global arena. Her other interests lie in the study of world art and architecture.</w:t>
      </w:r>
    </w:p>
    <w:p w:rsidR="008A7974" w:rsidRPr="000A0FB0" w:rsidRDefault="008A7974" w:rsidP="008A7974">
      <w:pPr>
        <w:jc w:val="left"/>
        <w:rPr>
          <w:rFonts w:eastAsia="Times New Roman"/>
        </w:rPr>
      </w:pPr>
    </w:p>
    <w:p w:rsidR="008A7974" w:rsidRDefault="008A7974" w:rsidP="008A7974">
      <w:pPr>
        <w:spacing w:line="276" w:lineRule="auto"/>
        <w:jc w:val="left"/>
      </w:pPr>
      <w:r w:rsidRPr="00E24CF4">
        <w:rPr>
          <w:rFonts w:ascii="Times New Roman" w:hAnsi="Times New Roman" w:cs="Times New Roman"/>
          <w:sz w:val="24"/>
          <w:szCs w:val="24"/>
          <w:u w:val="single"/>
        </w:rPr>
        <w:t>Abstract</w:t>
      </w:r>
    </w:p>
    <w:p w:rsidR="008A7974" w:rsidRDefault="008A7974" w:rsidP="008A7974">
      <w:pPr>
        <w:spacing w:line="276" w:lineRule="auto"/>
        <w:ind w:firstLine="720"/>
        <w:rPr>
          <w:rFonts w:ascii="Georgia" w:hAnsi="Georgia"/>
          <w:sz w:val="20"/>
          <w:szCs w:val="20"/>
        </w:rPr>
      </w:pPr>
      <w:r w:rsidRPr="00E24CF4">
        <w:rPr>
          <w:rFonts w:ascii="Georgia" w:hAnsi="Georgia"/>
          <w:sz w:val="20"/>
          <w:szCs w:val="20"/>
        </w:rPr>
        <w:t xml:space="preserve">This paper discusses select rare woodcut illustrations of Edward Gordon Craig, an English modernist theatre practitioner, a stage director and illustrator. In 1929, a special illustrated edition of </w:t>
      </w:r>
      <w:r w:rsidRPr="00E24CF4">
        <w:rPr>
          <w:rFonts w:ascii="Georgia" w:hAnsi="Georgia"/>
          <w:i/>
          <w:sz w:val="20"/>
          <w:szCs w:val="20"/>
        </w:rPr>
        <w:t>Hamlet</w:t>
      </w:r>
      <w:r w:rsidRPr="00E24CF4">
        <w:rPr>
          <w:rFonts w:ascii="Georgia" w:hAnsi="Georgia"/>
          <w:sz w:val="20"/>
          <w:szCs w:val="20"/>
        </w:rPr>
        <w:t xml:space="preserve"> was published by Cranach Press in Germany where Craig had used a set of rare woodcut designs that he had crafted for Stanislavski’s </w:t>
      </w:r>
      <w:r w:rsidRPr="00E24CF4">
        <w:rPr>
          <w:rFonts w:ascii="Georgia" w:hAnsi="Georgia"/>
          <w:i/>
          <w:sz w:val="20"/>
          <w:szCs w:val="20"/>
        </w:rPr>
        <w:t>Hamlet</w:t>
      </w:r>
      <w:r w:rsidRPr="00E24CF4">
        <w:rPr>
          <w:rFonts w:ascii="Georgia" w:hAnsi="Georgia"/>
          <w:sz w:val="20"/>
          <w:szCs w:val="20"/>
        </w:rPr>
        <w:t xml:space="preserve"> (1911-12). The publication of the 1929 </w:t>
      </w:r>
      <w:r w:rsidRPr="00E24CF4">
        <w:rPr>
          <w:rFonts w:ascii="Georgia" w:hAnsi="Georgia"/>
          <w:i/>
          <w:sz w:val="20"/>
          <w:szCs w:val="20"/>
        </w:rPr>
        <w:t>Hamlet</w:t>
      </w:r>
      <w:r>
        <w:rPr>
          <w:rFonts w:ascii="Georgia" w:hAnsi="Georgia"/>
          <w:i/>
          <w:sz w:val="20"/>
          <w:szCs w:val="20"/>
        </w:rPr>
        <w:t xml:space="preserve"> </w:t>
      </w:r>
      <w:r w:rsidRPr="00E24CF4">
        <w:rPr>
          <w:rFonts w:ascii="Georgia" w:hAnsi="Georgia"/>
          <w:sz w:val="20"/>
          <w:szCs w:val="20"/>
        </w:rPr>
        <w:t xml:space="preserve">bore cultural and artistic significances in the history of book art and adaptation of Shakespeare. It was a deep expression of the Arts and Crafts Movement, launched by William Morris and John Ruskin, which resisted the mechanization of traditional book-making industry. These illustrations were also reminiscent of Craig’s personal aesthetics of the </w:t>
      </w:r>
      <w:r w:rsidRPr="00E24CF4">
        <w:rPr>
          <w:rFonts w:ascii="Georgia" w:hAnsi="Georgia"/>
          <w:i/>
          <w:iCs/>
          <w:sz w:val="20"/>
          <w:szCs w:val="20"/>
        </w:rPr>
        <w:t>Über-marionette,</w:t>
      </w:r>
      <w:r>
        <w:rPr>
          <w:rFonts w:ascii="Georgia" w:hAnsi="Georgia"/>
          <w:i/>
          <w:iCs/>
          <w:sz w:val="20"/>
          <w:szCs w:val="20"/>
        </w:rPr>
        <w:t xml:space="preserve"> </w:t>
      </w:r>
      <w:r w:rsidRPr="00E24CF4">
        <w:rPr>
          <w:rFonts w:ascii="Georgia" w:hAnsi="Georgia"/>
          <w:iCs/>
          <w:sz w:val="20"/>
          <w:szCs w:val="20"/>
        </w:rPr>
        <w:t>a theory of</w:t>
      </w:r>
      <w:r>
        <w:rPr>
          <w:rFonts w:ascii="Georgia" w:hAnsi="Georgia"/>
          <w:iCs/>
          <w:sz w:val="20"/>
          <w:szCs w:val="20"/>
        </w:rPr>
        <w:t xml:space="preserve"> </w:t>
      </w:r>
      <w:r w:rsidRPr="00E24CF4">
        <w:rPr>
          <w:rFonts w:ascii="Georgia" w:hAnsi="Georgia"/>
          <w:sz w:val="20"/>
          <w:szCs w:val="20"/>
        </w:rPr>
        <w:t xml:space="preserve">transcendence established on dramatic arts. These woodblock carvings are black and white silhouettes that ‘transcend the role of narrative illustration, and become instead an almost complete “production” in marionette form’ (James Taylor). Apart from bearing personal attachment to Craig, this publication also marks a landmark in the arena of Shakespeare adaptation because it remains unchallenged in the way it symbolizes and controls the inner detailing and drama of Shakespeare’s </w:t>
      </w:r>
      <w:r w:rsidRPr="00E24CF4">
        <w:rPr>
          <w:rFonts w:ascii="Georgia" w:hAnsi="Georgia"/>
          <w:i/>
          <w:sz w:val="20"/>
          <w:szCs w:val="20"/>
        </w:rPr>
        <w:t>Hamlet</w:t>
      </w:r>
      <w:r>
        <w:rPr>
          <w:rFonts w:ascii="Georgia" w:hAnsi="Georgia"/>
          <w:i/>
          <w:sz w:val="20"/>
          <w:szCs w:val="20"/>
        </w:rPr>
        <w:t xml:space="preserve"> </w:t>
      </w:r>
      <w:r w:rsidRPr="00E24CF4">
        <w:rPr>
          <w:rFonts w:ascii="Georgia" w:hAnsi="Georgia"/>
          <w:sz w:val="20"/>
          <w:szCs w:val="20"/>
        </w:rPr>
        <w:t>through illustrative art.</w:t>
      </w:r>
    </w:p>
    <w:p w:rsidR="008A7974" w:rsidRPr="00E24CF4" w:rsidRDefault="008A7974" w:rsidP="008A7974">
      <w:pPr>
        <w:spacing w:line="276" w:lineRule="auto"/>
        <w:rPr>
          <w:rFonts w:ascii="Georgia" w:hAnsi="Georgia"/>
          <w:sz w:val="20"/>
          <w:szCs w:val="20"/>
        </w:rPr>
      </w:pPr>
    </w:p>
    <w:p w:rsidR="008A7974" w:rsidRPr="003D307B" w:rsidRDefault="008A7974" w:rsidP="008A7974">
      <w:pPr>
        <w:spacing w:line="276" w:lineRule="auto"/>
        <w:rPr>
          <w:rFonts w:ascii="Times New Roman" w:hAnsi="Times New Roman" w:cs="Times New Roman"/>
          <w:b/>
          <w:sz w:val="20"/>
          <w:szCs w:val="20"/>
        </w:rPr>
      </w:pPr>
      <w:r w:rsidRPr="003D307B">
        <w:rPr>
          <w:rFonts w:ascii="Times New Roman" w:hAnsi="Times New Roman" w:cs="Times New Roman"/>
          <w:b/>
          <w:sz w:val="20"/>
          <w:szCs w:val="20"/>
        </w:rPr>
        <w:t>Keywords:</w:t>
      </w:r>
      <w:r>
        <w:rPr>
          <w:rFonts w:ascii="Times New Roman" w:hAnsi="Times New Roman" w:cs="Times New Roman"/>
          <w:b/>
          <w:sz w:val="20"/>
          <w:szCs w:val="20"/>
        </w:rPr>
        <w:t xml:space="preserve"> </w:t>
      </w:r>
      <w:r w:rsidRPr="003D307B">
        <w:rPr>
          <w:rFonts w:ascii="Times New Roman" w:hAnsi="Times New Roman" w:cs="Times New Roman"/>
          <w:b/>
          <w:sz w:val="20"/>
          <w:szCs w:val="20"/>
        </w:rPr>
        <w:t xml:space="preserve">Shakespeare adaptation in Woodcut, Woodcut </w:t>
      </w:r>
      <w:r w:rsidRPr="003D307B">
        <w:rPr>
          <w:rFonts w:ascii="Times New Roman" w:hAnsi="Times New Roman" w:cs="Times New Roman"/>
          <w:b/>
          <w:i/>
          <w:sz w:val="20"/>
          <w:szCs w:val="20"/>
        </w:rPr>
        <w:t>Hamlet</w:t>
      </w:r>
      <w:r w:rsidRPr="003D307B">
        <w:rPr>
          <w:rFonts w:ascii="Times New Roman" w:hAnsi="Times New Roman" w:cs="Times New Roman"/>
          <w:b/>
          <w:sz w:val="20"/>
          <w:szCs w:val="20"/>
        </w:rPr>
        <w:t xml:space="preserve">, Cranach Press </w:t>
      </w:r>
      <w:r w:rsidRPr="003D307B">
        <w:rPr>
          <w:rFonts w:ascii="Times New Roman" w:hAnsi="Times New Roman" w:cs="Times New Roman"/>
          <w:b/>
          <w:i/>
          <w:sz w:val="20"/>
          <w:szCs w:val="20"/>
        </w:rPr>
        <w:t>Hamlet</w:t>
      </w:r>
      <w:r w:rsidRPr="003D307B">
        <w:rPr>
          <w:rFonts w:ascii="Times New Roman" w:hAnsi="Times New Roman" w:cs="Times New Roman"/>
          <w:b/>
          <w:sz w:val="20"/>
          <w:szCs w:val="20"/>
        </w:rPr>
        <w:t>, Edward Gordon Craig, Arts and Crafts Movement.</w:t>
      </w:r>
    </w:p>
    <w:p w:rsidR="008A7974" w:rsidRDefault="008A7974" w:rsidP="008A7974">
      <w:pPr>
        <w:widowControl w:val="0"/>
        <w:autoSpaceDE w:val="0"/>
        <w:autoSpaceDN w:val="0"/>
        <w:adjustRightInd w:val="0"/>
        <w:spacing w:line="360" w:lineRule="auto"/>
        <w:contextualSpacing/>
        <w:jc w:val="left"/>
        <w:rPr>
          <w:rFonts w:ascii="Georgia" w:hAnsi="Georgia" w:cs="Times New Roman"/>
          <w:sz w:val="20"/>
          <w:szCs w:val="20"/>
          <w:lang w:val="en-IN"/>
        </w:rPr>
      </w:pPr>
    </w:p>
    <w:p w:rsidR="008A7974" w:rsidRDefault="008A7974" w:rsidP="008A7974">
      <w:pPr>
        <w:widowControl w:val="0"/>
        <w:autoSpaceDE w:val="0"/>
        <w:autoSpaceDN w:val="0"/>
        <w:adjustRightInd w:val="0"/>
        <w:spacing w:line="360" w:lineRule="auto"/>
        <w:contextualSpacing/>
        <w:jc w:val="left"/>
        <w:rPr>
          <w:rFonts w:ascii="Georgia" w:hAnsi="Georgia" w:cs="Times New Roman"/>
          <w:sz w:val="20"/>
          <w:szCs w:val="20"/>
          <w:lang w:val="en-IN"/>
        </w:rPr>
      </w:pPr>
    </w:p>
    <w:p w:rsidR="008A7974" w:rsidRPr="00B77B95" w:rsidRDefault="008A7974" w:rsidP="008A7974">
      <w:pPr>
        <w:widowControl w:val="0"/>
        <w:autoSpaceDE w:val="0"/>
        <w:autoSpaceDN w:val="0"/>
        <w:adjustRightInd w:val="0"/>
        <w:spacing w:line="360" w:lineRule="auto"/>
        <w:contextualSpacing/>
        <w:jc w:val="left"/>
        <w:rPr>
          <w:rFonts w:ascii="Georgia" w:hAnsi="Georgia" w:cs="Times New Roman"/>
          <w:sz w:val="20"/>
          <w:szCs w:val="20"/>
          <w:lang w:val="en-IN"/>
        </w:rPr>
      </w:pPr>
    </w:p>
    <w:p w:rsidR="0095290C" w:rsidRDefault="0095290C" w:rsidP="00670D4F">
      <w:pPr>
        <w:widowControl w:val="0"/>
        <w:autoSpaceDE w:val="0"/>
        <w:autoSpaceDN w:val="0"/>
        <w:adjustRightInd w:val="0"/>
        <w:spacing w:line="360" w:lineRule="auto"/>
        <w:contextualSpacing/>
        <w:jc w:val="left"/>
        <w:rPr>
          <w:rFonts w:ascii="Georgia" w:hAnsi="Georgia" w:cs="Times New Roman"/>
          <w:sz w:val="20"/>
          <w:szCs w:val="20"/>
          <w:lang w:val="en-IN"/>
        </w:rPr>
      </w:pPr>
    </w:p>
    <w:p w:rsidR="00F678CA" w:rsidRDefault="00F678CA" w:rsidP="00670D4F">
      <w:pPr>
        <w:widowControl w:val="0"/>
        <w:autoSpaceDE w:val="0"/>
        <w:autoSpaceDN w:val="0"/>
        <w:adjustRightInd w:val="0"/>
        <w:spacing w:line="360" w:lineRule="auto"/>
        <w:contextualSpacing/>
        <w:jc w:val="left"/>
        <w:rPr>
          <w:rFonts w:ascii="Georgia" w:hAnsi="Georgia" w:cs="Times New Roman"/>
          <w:sz w:val="20"/>
          <w:szCs w:val="20"/>
          <w:lang w:val="en-IN"/>
        </w:rPr>
      </w:pPr>
    </w:p>
    <w:p w:rsidR="00F678CA" w:rsidRPr="00A24C5F" w:rsidRDefault="00F678CA" w:rsidP="00F678CA">
      <w:pPr>
        <w:spacing w:before="240" w:after="240" w:line="276" w:lineRule="auto"/>
        <w:jc w:val="center"/>
        <w:rPr>
          <w:rFonts w:ascii="Georgia" w:eastAsia="Times New Roman" w:hAnsi="Georgia"/>
          <w:b/>
          <w:sz w:val="24"/>
          <w:szCs w:val="24"/>
        </w:rPr>
      </w:pPr>
      <w:r w:rsidRPr="00A24C5F">
        <w:rPr>
          <w:rFonts w:ascii="Georgia" w:eastAsia="Times New Roman" w:hAnsi="Georgia"/>
          <w:b/>
          <w:sz w:val="24"/>
          <w:szCs w:val="24"/>
        </w:rPr>
        <w:lastRenderedPageBreak/>
        <w:t>Shakespeare in Woodcuts: A Study of Select Illustrations from The Cranach Pre</w:t>
      </w:r>
      <w:r w:rsidRPr="00A24C5F">
        <w:rPr>
          <w:rFonts w:ascii="Georgia" w:eastAsia="Times New Roman" w:hAnsi="Georgia"/>
          <w:b/>
          <w:i/>
          <w:sz w:val="24"/>
          <w:szCs w:val="24"/>
        </w:rPr>
        <w:t xml:space="preserve">ss Hamlet </w:t>
      </w:r>
      <w:r w:rsidRPr="00A24C5F">
        <w:rPr>
          <w:rFonts w:ascii="Georgia" w:eastAsia="Times New Roman" w:hAnsi="Georgia"/>
          <w:b/>
          <w:sz w:val="24"/>
          <w:szCs w:val="24"/>
        </w:rPr>
        <w:t>(1928, 1930)</w:t>
      </w:r>
    </w:p>
    <w:p w:rsidR="00F678CA" w:rsidRPr="00E24CF4" w:rsidRDefault="00F678CA" w:rsidP="00F678CA">
      <w:pPr>
        <w:spacing w:line="360" w:lineRule="auto"/>
        <w:jc w:val="right"/>
        <w:rPr>
          <w:rFonts w:ascii="Georgia" w:eastAsia="Times New Roman" w:hAnsi="Georgia"/>
          <w:b/>
        </w:rPr>
      </w:pPr>
      <w:r w:rsidRPr="00E24CF4">
        <w:rPr>
          <w:rFonts w:ascii="Georgia" w:eastAsia="Times New Roman" w:hAnsi="Georgia"/>
          <w:b/>
        </w:rPr>
        <w:t>Aabrita Dutta Gupta</w:t>
      </w:r>
    </w:p>
    <w:p w:rsidR="00F678CA" w:rsidRPr="00A24C5F" w:rsidRDefault="00F678CA" w:rsidP="00F678CA">
      <w:pPr>
        <w:spacing w:line="360" w:lineRule="auto"/>
        <w:jc w:val="right"/>
        <w:rPr>
          <w:rFonts w:ascii="Georgia" w:eastAsia="Times New Roman" w:hAnsi="Georgia"/>
        </w:rPr>
      </w:pPr>
      <w:r w:rsidRPr="00A24C5F">
        <w:rPr>
          <w:rFonts w:ascii="Georgia" w:eastAsia="Times New Roman" w:hAnsi="Georgia"/>
        </w:rPr>
        <w:t>Department of English</w:t>
      </w:r>
    </w:p>
    <w:p w:rsidR="00F678CA" w:rsidRDefault="00F678CA" w:rsidP="00F678CA">
      <w:pPr>
        <w:spacing w:line="360" w:lineRule="auto"/>
        <w:jc w:val="right"/>
        <w:rPr>
          <w:rFonts w:ascii="Georgia" w:eastAsia="Times New Roman" w:hAnsi="Georgia"/>
        </w:rPr>
      </w:pPr>
      <w:r w:rsidRPr="00A24C5F">
        <w:rPr>
          <w:rFonts w:ascii="Georgia" w:eastAsia="Times New Roman" w:hAnsi="Georgia"/>
        </w:rPr>
        <w:t>Bankura University</w:t>
      </w:r>
    </w:p>
    <w:p w:rsidR="00F678CA" w:rsidRPr="00E24CF4" w:rsidRDefault="00F678CA" w:rsidP="00F678CA">
      <w:pPr>
        <w:spacing w:line="360" w:lineRule="auto"/>
        <w:jc w:val="right"/>
        <w:rPr>
          <w:rFonts w:ascii="Georgia" w:eastAsia="Times New Roman" w:hAnsi="Georgia"/>
        </w:rPr>
      </w:pPr>
      <w:r w:rsidRPr="00E24CF4">
        <w:rPr>
          <w:rFonts w:ascii="Georgia" w:hAnsi="Georgia"/>
        </w:rPr>
        <w:t>Email: aabrita22@gmail.com</w:t>
      </w:r>
    </w:p>
    <w:p w:rsidR="00F678CA" w:rsidRDefault="00F678CA" w:rsidP="00F678CA">
      <w:pPr>
        <w:widowControl w:val="0"/>
        <w:autoSpaceDE w:val="0"/>
        <w:autoSpaceDN w:val="0"/>
        <w:adjustRightInd w:val="0"/>
        <w:spacing w:line="276" w:lineRule="auto"/>
        <w:contextualSpacing/>
        <w:rPr>
          <w:rFonts w:ascii="Georgia" w:hAnsi="Georgia" w:cs="Times New Roman"/>
          <w:sz w:val="24"/>
          <w:szCs w:val="24"/>
        </w:rPr>
      </w:pPr>
    </w:p>
    <w:p w:rsidR="00F678CA" w:rsidRPr="00F678CA" w:rsidRDefault="00F678CA" w:rsidP="00F678CA">
      <w:pPr>
        <w:widowControl w:val="0"/>
        <w:autoSpaceDE w:val="0"/>
        <w:autoSpaceDN w:val="0"/>
        <w:adjustRightInd w:val="0"/>
        <w:spacing w:line="276" w:lineRule="auto"/>
        <w:ind w:firstLine="720"/>
        <w:contextualSpacing/>
        <w:rPr>
          <w:rFonts w:ascii="Georgia" w:hAnsi="Georgia" w:cs="Times New Roman"/>
          <w:sz w:val="24"/>
          <w:szCs w:val="24"/>
        </w:rPr>
      </w:pPr>
      <w:r w:rsidRPr="00F678CA">
        <w:rPr>
          <w:rFonts w:ascii="Georgia" w:hAnsi="Georgia" w:cs="Times New Roman"/>
          <w:sz w:val="24"/>
          <w:szCs w:val="24"/>
        </w:rPr>
        <w:t>The 1928 German</w:t>
      </w:r>
      <w:r>
        <w:rPr>
          <w:rFonts w:ascii="Georgia" w:hAnsi="Georgia" w:cs="Times New Roman"/>
          <w:sz w:val="24"/>
          <w:szCs w:val="24"/>
        </w:rPr>
        <w:t xml:space="preserve"> </w:t>
      </w:r>
      <w:r w:rsidRPr="00F678CA">
        <w:rPr>
          <w:rFonts w:ascii="Georgia" w:hAnsi="Georgia" w:cs="Times New Roman"/>
          <w:sz w:val="24"/>
          <w:szCs w:val="24"/>
        </w:rPr>
        <w:t xml:space="preserve">edition of </w:t>
      </w:r>
      <w:r w:rsidRPr="00F678CA">
        <w:rPr>
          <w:rFonts w:ascii="Georgia" w:hAnsi="Georgia" w:cs="Times New Roman"/>
          <w:i/>
          <w:sz w:val="24"/>
          <w:szCs w:val="24"/>
        </w:rPr>
        <w:t>Hamlet</w:t>
      </w:r>
      <w:r w:rsidRPr="00F678CA">
        <w:rPr>
          <w:rFonts w:ascii="Georgia" w:hAnsi="Georgia" w:cs="Times New Roman"/>
          <w:sz w:val="24"/>
          <w:szCs w:val="24"/>
        </w:rPr>
        <w:t>(republished in English in 1930)</w:t>
      </w:r>
      <w:r w:rsidRPr="00F678CA">
        <w:rPr>
          <w:rFonts w:ascii="Georgia" w:hAnsi="Georgia" w:cs="Times New Roman"/>
          <w:i/>
          <w:sz w:val="24"/>
          <w:szCs w:val="24"/>
        </w:rPr>
        <w:t xml:space="preserve">, </w:t>
      </w:r>
      <w:r w:rsidRPr="00F678CA">
        <w:rPr>
          <w:rFonts w:ascii="Georgia" w:hAnsi="Georgia" w:cs="Times New Roman"/>
          <w:sz w:val="24"/>
          <w:szCs w:val="24"/>
        </w:rPr>
        <w:t xml:space="preserve">published by the Cranach Press and illustrated by Edward Gordon Craig is considered a revolutionary book in the history of book art and printing. Its acclaimed status is because of two reasons: one, this book had set a benchmark in Germany’s private-press movement that was a part of the Arts and Crafts Movement in Europe between 1880 and1920. And two, it consists of illustrations of eighty rare woodcuts by Edward Gordon Craig to enhance the dramatic impact of Shakespeare’s </w:t>
      </w:r>
      <w:r w:rsidRPr="00F678CA">
        <w:rPr>
          <w:rFonts w:ascii="Georgia" w:hAnsi="Georgia" w:cs="Times New Roman"/>
          <w:i/>
          <w:sz w:val="24"/>
          <w:szCs w:val="24"/>
        </w:rPr>
        <w:t>Hamlet</w:t>
      </w:r>
      <w:r w:rsidRPr="00F678CA">
        <w:rPr>
          <w:rFonts w:ascii="Georgia" w:hAnsi="Georgia" w:cs="Times New Roman"/>
          <w:sz w:val="24"/>
          <w:szCs w:val="24"/>
        </w:rPr>
        <w:t xml:space="preserve">. This paper will discuss the two reasons above and highlight how </w:t>
      </w:r>
      <w:r w:rsidRPr="00F678CA">
        <w:rPr>
          <w:rFonts w:ascii="Georgia" w:hAnsi="Georgia" w:cs="Times New Roman"/>
          <w:i/>
          <w:sz w:val="24"/>
          <w:szCs w:val="24"/>
        </w:rPr>
        <w:t xml:space="preserve">Hamlet </w:t>
      </w:r>
      <w:r w:rsidRPr="00F678CA">
        <w:rPr>
          <w:rFonts w:ascii="Georgia" w:hAnsi="Georgia" w:cs="Times New Roman"/>
          <w:sz w:val="24"/>
          <w:szCs w:val="24"/>
        </w:rPr>
        <w:t xml:space="preserve">acquires a new dimension ofminimalism in the modern twentieth century world. </w:t>
      </w:r>
    </w:p>
    <w:p w:rsidR="00F678CA" w:rsidRPr="00F678CA" w:rsidRDefault="00F678CA" w:rsidP="00F678CA">
      <w:pPr>
        <w:widowControl w:val="0"/>
        <w:autoSpaceDE w:val="0"/>
        <w:autoSpaceDN w:val="0"/>
        <w:adjustRightInd w:val="0"/>
        <w:spacing w:line="276" w:lineRule="auto"/>
        <w:ind w:firstLine="720"/>
        <w:contextualSpacing/>
        <w:rPr>
          <w:rFonts w:ascii="Georgia" w:hAnsi="Georgia" w:cs="Times New Roman"/>
          <w:sz w:val="24"/>
          <w:szCs w:val="24"/>
        </w:rPr>
      </w:pPr>
      <w:r w:rsidRPr="00F678CA">
        <w:rPr>
          <w:rFonts w:ascii="Georgia" w:hAnsi="Georgia" w:cs="Times New Roman"/>
          <w:sz w:val="24"/>
          <w:szCs w:val="24"/>
        </w:rPr>
        <w:t xml:space="preserve">The Arts and Crafts movement of the early twentieth century was an international movement in decorative and fine arts, which flourished in Europe and North America between 1880 and 1920. It opposed mass productions of books in the factory after Industrial Revolution and encouraged the independence of hand-print and traditional book-making in the press:  </w:t>
      </w:r>
    </w:p>
    <w:p w:rsidR="00F678CA" w:rsidRPr="00F678CA" w:rsidRDefault="00F678CA" w:rsidP="00FC7FD5">
      <w:pPr>
        <w:widowControl w:val="0"/>
        <w:autoSpaceDE w:val="0"/>
        <w:autoSpaceDN w:val="0"/>
        <w:adjustRightInd w:val="0"/>
        <w:spacing w:line="276" w:lineRule="auto"/>
        <w:ind w:left="1440"/>
        <w:contextualSpacing/>
        <w:rPr>
          <w:rFonts w:ascii="Georgia" w:hAnsi="Georgia" w:cs="Times New Roman"/>
          <w:sz w:val="24"/>
          <w:szCs w:val="24"/>
        </w:rPr>
      </w:pPr>
      <w:r w:rsidRPr="00F678CA">
        <w:rPr>
          <w:rFonts w:ascii="Georgia" w:hAnsi="Georgia" w:cs="Times New Roman"/>
          <w:sz w:val="24"/>
          <w:szCs w:val="24"/>
        </w:rPr>
        <w:t>The </w:t>
      </w:r>
      <w:hyperlink r:id="rId7" w:history="1">
        <w:r w:rsidRPr="00F678CA">
          <w:rPr>
            <w:rStyle w:val="Hyperlink"/>
            <w:rFonts w:ascii="Georgia" w:hAnsi="Georgia" w:cs="Times New Roman"/>
            <w:sz w:val="24"/>
            <w:szCs w:val="24"/>
          </w:rPr>
          <w:t>Industrial Revolution</w:t>
        </w:r>
      </w:hyperlink>
      <w:r w:rsidRPr="00F678CA">
        <w:rPr>
          <w:rFonts w:ascii="Georgia" w:hAnsi="Georgia" w:cs="Times New Roman"/>
          <w:sz w:val="24"/>
          <w:szCs w:val="24"/>
        </w:rPr>
        <w:t> changed the course of </w:t>
      </w:r>
      <w:hyperlink r:id="rId8" w:history="1">
        <w:r w:rsidRPr="00F678CA">
          <w:rPr>
            <w:rStyle w:val="Hyperlink"/>
            <w:rFonts w:ascii="Georgia" w:hAnsi="Georgia" w:cs="Times New Roman"/>
            <w:sz w:val="24"/>
            <w:szCs w:val="24"/>
          </w:rPr>
          <w:t>printing</w:t>
        </w:r>
      </w:hyperlink>
      <w:r w:rsidRPr="00F678CA">
        <w:rPr>
          <w:rFonts w:ascii="Georgia" w:hAnsi="Georgia" w:cs="Times New Roman"/>
          <w:sz w:val="24"/>
          <w:szCs w:val="24"/>
        </w:rPr>
        <w:t> not only by mechanizing a handicraft but also by greatly increasing the market for its wares. Inventors in the 19th century, in order to produce enough reading matter for a constantly growing and ever more literate population, had to solve a series of problems in paper production, </w:t>
      </w:r>
      <w:hyperlink r:id="rId9" w:history="1">
        <w:r w:rsidRPr="00F678CA">
          <w:rPr>
            <w:rStyle w:val="Hyperlink"/>
            <w:rFonts w:ascii="Georgia" w:hAnsi="Georgia" w:cs="Times New Roman"/>
            <w:sz w:val="24"/>
            <w:szCs w:val="24"/>
          </w:rPr>
          <w:t>composition</w:t>
        </w:r>
      </w:hyperlink>
      <w:r w:rsidRPr="00F678CA">
        <w:rPr>
          <w:rFonts w:ascii="Georgia" w:hAnsi="Georgia" w:cs="Times New Roman"/>
          <w:sz w:val="24"/>
          <w:szCs w:val="24"/>
        </w:rPr>
        <w:t>, printing, and binding. The solution that most affected the appearance of the book was mechanical composition; the new </w:t>
      </w:r>
      <w:hyperlink r:id="rId10" w:history="1">
        <w:r w:rsidRPr="00F678CA">
          <w:rPr>
            <w:rStyle w:val="Hyperlink"/>
            <w:rFonts w:ascii="Georgia" w:hAnsi="Georgia" w:cs="Times New Roman"/>
            <w:sz w:val="24"/>
            <w:szCs w:val="24"/>
          </w:rPr>
          <w:t>composing machines</w:t>
        </w:r>
      </w:hyperlink>
      <w:r w:rsidRPr="00F678CA">
        <w:rPr>
          <w:rFonts w:ascii="Georgia" w:hAnsi="Georgia" w:cs="Times New Roman"/>
          <w:sz w:val="24"/>
          <w:szCs w:val="24"/>
        </w:rPr>
        <w:t> imposed new limitations not only on type design but also on the number and kinds of faces available, since the money required to buy a new typeface was enough to </w:t>
      </w:r>
      <w:hyperlink r:id="rId11" w:history="1">
        <w:r w:rsidRPr="00F678CA">
          <w:rPr>
            <w:rStyle w:val="Hyperlink"/>
            <w:rFonts w:ascii="Georgia" w:hAnsi="Georgia" w:cs="Times New Roman"/>
            <w:sz w:val="24"/>
            <w:szCs w:val="24"/>
          </w:rPr>
          <w:t>inhibit</w:t>
        </w:r>
      </w:hyperlink>
      <w:r w:rsidRPr="00F678CA">
        <w:rPr>
          <w:rFonts w:ascii="Georgia" w:hAnsi="Georgia" w:cs="Times New Roman"/>
          <w:sz w:val="24"/>
          <w:szCs w:val="24"/>
        </w:rPr>
        <w:t> printers from stocking faces of slight utility. As a result, Victorian exuberance of design, which might use a dozen or more typefaces within a single book, was effectively curbed.</w:t>
      </w:r>
      <w:r w:rsidR="00FC7FD5">
        <w:rPr>
          <w:rFonts w:ascii="Georgia" w:hAnsi="Georgia" w:cs="Times New Roman"/>
          <w:sz w:val="24"/>
          <w:szCs w:val="24"/>
        </w:rPr>
        <w:t xml:space="preserve"> </w:t>
      </w:r>
      <w:r w:rsidRPr="00F678CA">
        <w:rPr>
          <w:rFonts w:ascii="Georgia" w:hAnsi="Georgia" w:cs="Times New Roman"/>
          <w:sz w:val="24"/>
          <w:szCs w:val="24"/>
        </w:rPr>
        <w:t>(Warren E Preece and James M. Wells</w:t>
      </w:r>
      <w:hyperlink r:id="rId12" w:history="1"/>
      <w:r w:rsidRPr="00F678CA">
        <w:rPr>
          <w:rFonts w:ascii="Georgia" w:hAnsi="Georgia" w:cs="Times New Roman"/>
          <w:sz w:val="24"/>
          <w:szCs w:val="24"/>
        </w:rPr>
        <w:t>)</w:t>
      </w:r>
    </w:p>
    <w:p w:rsidR="00F678CA" w:rsidRPr="00F678CA" w:rsidRDefault="00F678CA" w:rsidP="00F678CA">
      <w:pPr>
        <w:widowControl w:val="0"/>
        <w:autoSpaceDE w:val="0"/>
        <w:autoSpaceDN w:val="0"/>
        <w:adjustRightInd w:val="0"/>
        <w:spacing w:line="276" w:lineRule="auto"/>
        <w:ind w:firstLine="720"/>
        <w:contextualSpacing/>
        <w:rPr>
          <w:rFonts w:ascii="Georgia" w:hAnsi="Georgia" w:cs="Times New Roman"/>
          <w:sz w:val="24"/>
          <w:szCs w:val="24"/>
        </w:rPr>
      </w:pPr>
      <w:r w:rsidRPr="00F678CA">
        <w:rPr>
          <w:rFonts w:ascii="Georgia" w:hAnsi="Georgia" w:cs="Times New Roman"/>
          <w:sz w:val="24"/>
          <w:szCs w:val="24"/>
        </w:rPr>
        <w:t xml:space="preserve">The movement was jointly spearheaded by William Morris and John Ruskin. Ruskin’s </w:t>
      </w:r>
      <w:r w:rsidRPr="00F678CA">
        <w:rPr>
          <w:rFonts w:ascii="Georgia" w:hAnsi="Georgia" w:cs="Times New Roman"/>
          <w:i/>
          <w:sz w:val="24"/>
          <w:szCs w:val="24"/>
        </w:rPr>
        <w:t>The Nature of Gothic</w:t>
      </w:r>
      <w:r w:rsidRPr="00F678CA">
        <w:rPr>
          <w:rFonts w:ascii="Georgia" w:hAnsi="Georgia" w:cs="Times New Roman"/>
          <w:sz w:val="24"/>
          <w:szCs w:val="24"/>
        </w:rPr>
        <w:t xml:space="preserve">(1892)was published by Morris, “Printed by hand-press on handmade paper in Morris's Golden Type inspired by the 15th century printer Nicolas Jenson, Morris's edition was </w:t>
      </w:r>
      <w:r w:rsidRPr="00F678CA">
        <w:rPr>
          <w:rFonts w:ascii="Georgia" w:hAnsi="Georgia" w:cs="Times New Roman"/>
          <w:sz w:val="24"/>
          <w:szCs w:val="24"/>
        </w:rPr>
        <w:lastRenderedPageBreak/>
        <w:t>the most notable fine press edition of a work that became a kind of manifesto for the Arts and Crafts Movement” (Jeremy Norman</w:t>
      </w:r>
      <w:hyperlink r:id="rId13" w:history="1"/>
      <w:r w:rsidRPr="00F678CA">
        <w:rPr>
          <w:rFonts w:ascii="Georgia" w:hAnsi="Georgia" w:cs="Times New Roman"/>
          <w:sz w:val="24"/>
          <w:szCs w:val="24"/>
        </w:rPr>
        <w:t xml:space="preserve">) .  In the second edition to his book </w:t>
      </w:r>
      <w:r w:rsidRPr="00F678CA">
        <w:rPr>
          <w:rFonts w:ascii="Georgia" w:hAnsi="Georgia" w:cs="Times New Roman"/>
          <w:i/>
          <w:sz w:val="24"/>
          <w:szCs w:val="24"/>
        </w:rPr>
        <w:t xml:space="preserve">The Stones of Venice </w:t>
      </w:r>
      <w:r w:rsidRPr="00F678CA">
        <w:rPr>
          <w:rFonts w:ascii="Georgia" w:hAnsi="Georgia" w:cs="Times New Roman"/>
          <w:sz w:val="24"/>
          <w:szCs w:val="24"/>
        </w:rPr>
        <w:t>(1851-1853)</w:t>
      </w:r>
      <w:r>
        <w:rPr>
          <w:rFonts w:ascii="Georgia" w:hAnsi="Georgia" w:cs="Times New Roman"/>
          <w:sz w:val="24"/>
          <w:szCs w:val="24"/>
        </w:rPr>
        <w:t xml:space="preserve"> </w:t>
      </w:r>
      <w:r w:rsidRPr="00F678CA">
        <w:rPr>
          <w:rFonts w:ascii="Georgia" w:hAnsi="Georgia" w:cs="Times New Roman"/>
          <w:sz w:val="24"/>
          <w:szCs w:val="24"/>
        </w:rPr>
        <w:t xml:space="preserve">Ruskin argues that Gothic ornamentation “was an expression of the artisan's joy in free, creative work. The worker must be allowed to think and to express his own personality and ideas, ideally using his own hands, not machinery” (Jeremy Norman): </w:t>
      </w:r>
    </w:p>
    <w:p w:rsidR="00F678CA" w:rsidRPr="00F678CA" w:rsidRDefault="00F678CA" w:rsidP="00FC7FD5">
      <w:pPr>
        <w:widowControl w:val="0"/>
        <w:autoSpaceDE w:val="0"/>
        <w:autoSpaceDN w:val="0"/>
        <w:adjustRightInd w:val="0"/>
        <w:spacing w:line="276" w:lineRule="auto"/>
        <w:ind w:left="1440"/>
        <w:contextualSpacing/>
        <w:rPr>
          <w:rFonts w:ascii="Georgia" w:hAnsi="Georgia" w:cs="Times New Roman"/>
          <w:sz w:val="24"/>
          <w:szCs w:val="24"/>
        </w:rPr>
      </w:pPr>
      <w:r w:rsidRPr="00F678CA">
        <w:rPr>
          <w:rFonts w:ascii="Georgia" w:hAnsi="Georgia" w:cs="Times New Roman"/>
          <w:sz w:val="24"/>
          <w:szCs w:val="24"/>
        </w:rPr>
        <w:t>We want one man to be always thinking, and another to be always working, and we call one a gentleman, and the other an operative; whereas the workman ought often to be thinking, and the thinker often to be working, and both should be gentlemen, in the best sense. As it is, we make both ungentle, the one envying, the other despising, his brother; and the mass of society is made up of morbid thinkers and miserable workers. Now it is only by labour that thought can be made healthy, and only by thought that labour can be made happy, and the two cannot be separated with impunity (201).</w:t>
      </w:r>
    </w:p>
    <w:p w:rsidR="00F678CA" w:rsidRPr="00F678CA" w:rsidRDefault="00F678CA" w:rsidP="00FC7FD5">
      <w:pPr>
        <w:widowControl w:val="0"/>
        <w:autoSpaceDE w:val="0"/>
        <w:autoSpaceDN w:val="0"/>
        <w:adjustRightInd w:val="0"/>
        <w:spacing w:line="276" w:lineRule="auto"/>
        <w:ind w:firstLine="720"/>
        <w:contextualSpacing/>
        <w:rPr>
          <w:rFonts w:ascii="Georgia" w:hAnsi="Georgia" w:cs="Times New Roman"/>
          <w:bCs/>
          <w:sz w:val="24"/>
          <w:szCs w:val="24"/>
        </w:rPr>
      </w:pPr>
      <w:r w:rsidRPr="00F678CA">
        <w:rPr>
          <w:rFonts w:ascii="Georgia" w:hAnsi="Georgia" w:cs="Times New Roman"/>
          <w:sz w:val="24"/>
          <w:szCs w:val="24"/>
        </w:rPr>
        <w:t>The 1928</w:t>
      </w:r>
      <w:r w:rsidR="00FC7FD5">
        <w:rPr>
          <w:rFonts w:ascii="Georgia" w:hAnsi="Georgia" w:cs="Times New Roman"/>
          <w:sz w:val="24"/>
          <w:szCs w:val="24"/>
        </w:rPr>
        <w:t xml:space="preserve"> </w:t>
      </w:r>
      <w:r w:rsidRPr="00F678CA">
        <w:rPr>
          <w:rFonts w:ascii="Georgia" w:hAnsi="Georgia" w:cs="Times New Roman"/>
          <w:i/>
          <w:sz w:val="24"/>
          <w:szCs w:val="24"/>
        </w:rPr>
        <w:t xml:space="preserve">Hamlet </w:t>
      </w:r>
      <w:r w:rsidRPr="00F678CA">
        <w:rPr>
          <w:rFonts w:ascii="Georgia" w:hAnsi="Georgia" w:cs="Times New Roman"/>
          <w:sz w:val="24"/>
          <w:szCs w:val="24"/>
        </w:rPr>
        <w:t>is by no means the first reprint of Shakespeare in the early twentieth century avant-garde movement</w:t>
      </w:r>
      <w:r w:rsidRPr="00F678CA">
        <w:rPr>
          <w:rFonts w:ascii="Georgia" w:hAnsi="Georgia" w:cs="Times New Roman"/>
          <w:b/>
          <w:sz w:val="24"/>
          <w:szCs w:val="24"/>
          <w:vertAlign w:val="superscript"/>
        </w:rPr>
        <w:t>1</w:t>
      </w:r>
      <w:r w:rsidRPr="00F678CA">
        <w:rPr>
          <w:rFonts w:ascii="Georgia" w:hAnsi="Georgia" w:cs="Times New Roman"/>
          <w:sz w:val="24"/>
          <w:szCs w:val="24"/>
        </w:rPr>
        <w:t xml:space="preserve">. In 1891, William Morris, arguably the progenitor of Arts and Crafts movement with John Ruskin, had opened a printing press, the Kelmscott Press, to uphold the legacy of personal labour in printing books as opposed to machinated printing. The Victorian insistence on machines and  mechanized labour was countered in a number of presses that continued to print books on handmade paper with moveable type and a hand-press going back to the tradition of book-making of the medieval and Renaissance period. In 1893,Morris produced a collection of Shakespeare’s </w:t>
      </w:r>
      <w:r w:rsidRPr="00F678CA">
        <w:rPr>
          <w:rFonts w:ascii="Georgia" w:hAnsi="Georgia" w:cs="Times New Roman"/>
          <w:i/>
          <w:sz w:val="24"/>
          <w:szCs w:val="24"/>
        </w:rPr>
        <w:t>Poems</w:t>
      </w:r>
      <w:r w:rsidRPr="00F678CA">
        <w:rPr>
          <w:rFonts w:ascii="Georgia" w:hAnsi="Georgia" w:cs="Times New Roman"/>
          <w:sz w:val="24"/>
          <w:szCs w:val="24"/>
        </w:rPr>
        <w:t xml:space="preserve"> on handmade paper</w:t>
      </w:r>
      <w:r w:rsidR="00FC7FD5">
        <w:rPr>
          <w:rFonts w:ascii="Georgia" w:hAnsi="Georgia" w:cs="Times New Roman"/>
          <w:sz w:val="24"/>
          <w:szCs w:val="24"/>
        </w:rPr>
        <w:t xml:space="preserve"> </w:t>
      </w:r>
      <w:r w:rsidRPr="00F678CA">
        <w:rPr>
          <w:rFonts w:ascii="Georgia" w:hAnsi="Georgia" w:cs="Times New Roman"/>
          <w:sz w:val="24"/>
          <w:szCs w:val="24"/>
        </w:rPr>
        <w:t>and a characteristic medieval design to create a book that “would have a definite claim to beauty”. He was interested in preserving the ingenuity of Renaissance literature and so he presented the original verse known to have been used by Shakespeare and as found in the sixteenth and seventeenth century books. In the preface to this book</w:t>
      </w:r>
      <w:r w:rsidR="00FC7FD5">
        <w:rPr>
          <w:rFonts w:ascii="Georgia" w:hAnsi="Georgia" w:cs="Times New Roman"/>
          <w:sz w:val="24"/>
          <w:szCs w:val="24"/>
        </w:rPr>
        <w:t xml:space="preserve"> </w:t>
      </w:r>
      <w:r w:rsidRPr="00F678CA">
        <w:rPr>
          <w:rFonts w:ascii="Georgia" w:hAnsi="Georgia" w:cs="Times New Roman"/>
          <w:sz w:val="24"/>
          <w:szCs w:val="24"/>
        </w:rPr>
        <w:t>Morris wrote, “being able to study these poems in the language in which they were written, ought we think, to add materially to the pleasure of the reader.”(University of Deiaware). Walter Crane, an illustrator, designer and painter and an important figure of the British Arts and Crafts Movement produced a limited edition of a portfolio of engraved facsimiles of pen sketches of scenes from</w:t>
      </w:r>
      <w:r w:rsidR="00FC7FD5">
        <w:rPr>
          <w:rFonts w:ascii="Georgia" w:hAnsi="Georgia" w:cs="Times New Roman"/>
          <w:sz w:val="24"/>
          <w:szCs w:val="24"/>
        </w:rPr>
        <w:t xml:space="preserve"> </w:t>
      </w:r>
      <w:r w:rsidRPr="00F678CA">
        <w:rPr>
          <w:rFonts w:ascii="Georgia" w:hAnsi="Georgia" w:cs="Times New Roman"/>
          <w:i/>
          <w:sz w:val="24"/>
          <w:szCs w:val="24"/>
        </w:rPr>
        <w:t>The Tempest</w:t>
      </w:r>
      <w:r w:rsidR="00FC7FD5">
        <w:rPr>
          <w:rFonts w:ascii="Georgia" w:hAnsi="Georgia" w:cs="Times New Roman"/>
          <w:i/>
          <w:sz w:val="24"/>
          <w:szCs w:val="24"/>
        </w:rPr>
        <w:t xml:space="preserve"> </w:t>
      </w:r>
      <w:r w:rsidRPr="00F678CA">
        <w:rPr>
          <w:rFonts w:ascii="Georgia" w:hAnsi="Georgia" w:cs="Times New Roman"/>
          <w:sz w:val="24"/>
          <w:szCs w:val="24"/>
        </w:rPr>
        <w:t xml:space="preserve">titled, </w:t>
      </w:r>
      <w:r w:rsidRPr="00F678CA">
        <w:rPr>
          <w:rFonts w:ascii="Georgia" w:hAnsi="Georgia" w:cs="Times New Roman"/>
          <w:bCs/>
          <w:i/>
          <w:iCs/>
          <w:sz w:val="24"/>
          <w:szCs w:val="24"/>
        </w:rPr>
        <w:t>Eight Illustrations to Shakespeare's Tempest</w:t>
      </w:r>
      <w:r w:rsidRPr="00F678CA">
        <w:rPr>
          <w:rFonts w:ascii="Georgia" w:hAnsi="Georgia" w:cs="Times New Roman"/>
          <w:bCs/>
          <w:sz w:val="24"/>
          <w:szCs w:val="24"/>
        </w:rPr>
        <w:t xml:space="preserve"> (1894). </w:t>
      </w:r>
    </w:p>
    <w:p w:rsidR="00F678CA" w:rsidRPr="00F678CA" w:rsidRDefault="00F678CA" w:rsidP="00FC7FD5">
      <w:pPr>
        <w:widowControl w:val="0"/>
        <w:autoSpaceDE w:val="0"/>
        <w:autoSpaceDN w:val="0"/>
        <w:adjustRightInd w:val="0"/>
        <w:spacing w:line="276" w:lineRule="auto"/>
        <w:ind w:firstLine="720"/>
        <w:contextualSpacing/>
        <w:rPr>
          <w:rFonts w:ascii="Georgia" w:hAnsi="Georgia" w:cs="Times New Roman"/>
          <w:bCs/>
          <w:sz w:val="24"/>
          <w:szCs w:val="24"/>
        </w:rPr>
      </w:pPr>
      <w:r w:rsidRPr="00F678CA">
        <w:rPr>
          <w:rFonts w:ascii="Georgia" w:hAnsi="Georgia" w:cs="Times New Roman"/>
          <w:i/>
          <w:iCs/>
          <w:sz w:val="24"/>
          <w:szCs w:val="24"/>
        </w:rPr>
        <w:t>A Midsummer Night’s Dream</w:t>
      </w:r>
      <w:r w:rsidRPr="00F678CA">
        <w:rPr>
          <w:rFonts w:ascii="Georgia" w:hAnsi="Georgia" w:cs="Times New Roman"/>
          <w:sz w:val="24"/>
          <w:szCs w:val="24"/>
        </w:rPr>
        <w:t xml:space="preserve"> was published by J.M Dent in 1895 featuring illustrations by the artist Robert Anning Bell (1863-1933). Israel Gollancz (1863-1930) wrote an introduction to this edition addressing a juvenile audience. He presented </w:t>
      </w:r>
      <w:r w:rsidRPr="00F678CA">
        <w:rPr>
          <w:rFonts w:ascii="Georgia" w:hAnsi="Georgia" w:cs="Times New Roman"/>
          <w:i/>
          <w:iCs/>
          <w:sz w:val="24"/>
          <w:szCs w:val="24"/>
        </w:rPr>
        <w:t>A Midsummer Night’s Dream</w:t>
      </w:r>
      <w:r w:rsidRPr="00F678CA">
        <w:rPr>
          <w:rFonts w:ascii="Georgia" w:hAnsi="Georgia" w:cs="Times New Roman"/>
          <w:sz w:val="24"/>
          <w:szCs w:val="24"/>
        </w:rPr>
        <w:t> as a “wonderful fairy tale” by “the greatest of all the poets that have ever lived, God’s best gift to England, England’s to the world.” (“Shakespeare and the Private Press”</w:t>
      </w:r>
      <w:hyperlink r:id="rId14" w:history="1"/>
      <w:r w:rsidRPr="00F678CA">
        <w:rPr>
          <w:rFonts w:ascii="Georgia" w:hAnsi="Georgia" w:cs="Times New Roman"/>
          <w:sz w:val="24"/>
          <w:szCs w:val="24"/>
        </w:rPr>
        <w:t xml:space="preserve">). Dent was eventually </w:t>
      </w:r>
      <w:r w:rsidRPr="00F678CA">
        <w:rPr>
          <w:rFonts w:ascii="Georgia" w:hAnsi="Georgia" w:cs="Times New Roman"/>
          <w:sz w:val="24"/>
          <w:szCs w:val="24"/>
        </w:rPr>
        <w:lastRenderedPageBreak/>
        <w:t>the founder of Everyman’s library in1906 “with the intent to produce inexpensive, well-edited, beautifully designed editions of the classics”(“Shakespeare and the Private Press”).</w:t>
      </w:r>
    </w:p>
    <w:p w:rsidR="00F678CA" w:rsidRPr="00F678CA" w:rsidRDefault="00F678CA" w:rsidP="00FC7FD5">
      <w:pPr>
        <w:widowControl w:val="0"/>
        <w:autoSpaceDE w:val="0"/>
        <w:autoSpaceDN w:val="0"/>
        <w:adjustRightInd w:val="0"/>
        <w:spacing w:line="276" w:lineRule="auto"/>
        <w:ind w:firstLine="720"/>
        <w:contextualSpacing/>
        <w:rPr>
          <w:rFonts w:ascii="Georgia" w:hAnsi="Georgia" w:cs="Times New Roman"/>
          <w:bCs/>
          <w:sz w:val="24"/>
          <w:szCs w:val="24"/>
        </w:rPr>
      </w:pPr>
      <w:r w:rsidRPr="00F678CA">
        <w:rPr>
          <w:rFonts w:ascii="Georgia" w:hAnsi="Georgia" w:cs="Times New Roman"/>
          <w:bCs/>
          <w:sz w:val="24"/>
          <w:szCs w:val="24"/>
        </w:rPr>
        <w:t xml:space="preserve">Charles Robert Ashbe (1863-1942) founded the The Essex House Press in 1898 as part of the Guild of Handicrafts, an Arts and Crafts Movement workshop and craft school. The press remained active until 1910, when it closed down due to poor sales and financial crisis despite having employees from Morris’ Kelmscott Press. This Essex House press published Shakespeare’s </w:t>
      </w:r>
      <w:r w:rsidRPr="00F678CA">
        <w:rPr>
          <w:rFonts w:ascii="Georgia" w:hAnsi="Georgia" w:cs="Times New Roman"/>
          <w:bCs/>
          <w:i/>
          <w:sz w:val="24"/>
          <w:szCs w:val="24"/>
        </w:rPr>
        <w:t>Poems</w:t>
      </w:r>
      <w:r w:rsidRPr="00F678CA">
        <w:rPr>
          <w:rFonts w:ascii="Georgia" w:hAnsi="Georgia" w:cs="Times New Roman"/>
          <w:bCs/>
          <w:sz w:val="24"/>
          <w:szCs w:val="24"/>
        </w:rPr>
        <w:t xml:space="preserve">, titled </w:t>
      </w:r>
      <w:r w:rsidRPr="00F678CA">
        <w:rPr>
          <w:rFonts w:ascii="Georgia" w:hAnsi="Georgia" w:cs="Times New Roman"/>
          <w:bCs/>
          <w:i/>
          <w:iCs/>
          <w:sz w:val="24"/>
          <w:szCs w:val="24"/>
        </w:rPr>
        <w:t>The Poems of William Shakespeare, According to the Text of the Original Copies, Including the Lyrics, Songs, and Snatches Found in His Dramas</w:t>
      </w:r>
      <w:r w:rsidRPr="00F678CA">
        <w:rPr>
          <w:rFonts w:ascii="Georgia" w:hAnsi="Georgia" w:cs="Times New Roman"/>
          <w:bCs/>
          <w:sz w:val="24"/>
          <w:szCs w:val="24"/>
        </w:rPr>
        <w:t xml:space="preserve">edited by F. S. Ellis (1830-1901), a bookseller and author who was a close friend of Morris and a supporter of Kelmscott Press.  This particular edition of </w:t>
      </w:r>
      <w:r w:rsidRPr="00F678CA">
        <w:rPr>
          <w:rFonts w:ascii="Georgia" w:hAnsi="Georgia" w:cs="Times New Roman"/>
          <w:bCs/>
          <w:i/>
          <w:sz w:val="24"/>
          <w:szCs w:val="24"/>
        </w:rPr>
        <w:t xml:space="preserve">Poems </w:t>
      </w:r>
      <w:r w:rsidRPr="00F678CA">
        <w:rPr>
          <w:rFonts w:ascii="Georgia" w:hAnsi="Georgia" w:cs="Times New Roman"/>
          <w:bCs/>
          <w:sz w:val="24"/>
          <w:szCs w:val="24"/>
        </w:rPr>
        <w:t>was a gift for Ellis’ wife Caroline Augusta Flora.</w:t>
      </w:r>
    </w:p>
    <w:p w:rsidR="00F678CA" w:rsidRPr="00F678CA" w:rsidRDefault="00F678CA" w:rsidP="00FC7FD5">
      <w:pPr>
        <w:widowControl w:val="0"/>
        <w:autoSpaceDE w:val="0"/>
        <w:autoSpaceDN w:val="0"/>
        <w:adjustRightInd w:val="0"/>
        <w:spacing w:line="276" w:lineRule="auto"/>
        <w:ind w:firstLine="720"/>
        <w:contextualSpacing/>
        <w:rPr>
          <w:rFonts w:ascii="Georgia" w:hAnsi="Georgia" w:cs="Times New Roman"/>
          <w:sz w:val="24"/>
          <w:szCs w:val="24"/>
        </w:rPr>
      </w:pPr>
      <w:r w:rsidRPr="00F678CA">
        <w:rPr>
          <w:rFonts w:ascii="Georgia" w:hAnsi="Georgia" w:cs="Times New Roman"/>
          <w:sz w:val="24"/>
          <w:szCs w:val="24"/>
        </w:rPr>
        <w:t xml:space="preserve">Another edition of </w:t>
      </w:r>
      <w:r w:rsidRPr="00F678CA">
        <w:rPr>
          <w:rFonts w:ascii="Georgia" w:hAnsi="Georgia" w:cs="Times New Roman"/>
          <w:i/>
          <w:iCs/>
          <w:sz w:val="24"/>
          <w:szCs w:val="24"/>
        </w:rPr>
        <w:t>The Tempest</w:t>
      </w:r>
      <w:r w:rsidRPr="00F678CA">
        <w:rPr>
          <w:rFonts w:ascii="Georgia" w:hAnsi="Georgia" w:cs="Times New Roman"/>
          <w:sz w:val="24"/>
          <w:szCs w:val="24"/>
        </w:rPr>
        <w:t> was published by The Heinemann in1926. This edition was essentially meant for mass production but a limited edition of 520 copies was also published on handmade paper. This edition featured illustrations by acclaimed book illustrator Arthur Rackham (1867-1939). The illustration focused more on the supernatural elements in the play and ignored human characters lending it a more fantastic look than the varied human images.</w:t>
      </w:r>
    </w:p>
    <w:p w:rsidR="00C8312C" w:rsidRDefault="00F678CA" w:rsidP="00C8312C">
      <w:pPr>
        <w:widowControl w:val="0"/>
        <w:autoSpaceDE w:val="0"/>
        <w:autoSpaceDN w:val="0"/>
        <w:adjustRightInd w:val="0"/>
        <w:spacing w:line="276" w:lineRule="auto"/>
        <w:ind w:firstLine="720"/>
        <w:contextualSpacing/>
        <w:rPr>
          <w:rFonts w:ascii="Georgia" w:hAnsi="Georgia" w:cs="Times New Roman"/>
          <w:sz w:val="24"/>
          <w:szCs w:val="24"/>
        </w:rPr>
      </w:pPr>
      <w:r w:rsidRPr="00F678CA">
        <w:rPr>
          <w:rFonts w:ascii="Georgia" w:hAnsi="Georgia" w:cs="Times New Roman"/>
          <w:sz w:val="24"/>
          <w:szCs w:val="24"/>
        </w:rPr>
        <w:t>Among many other,</w:t>
      </w:r>
      <w:r w:rsidR="00FC7FD5">
        <w:rPr>
          <w:rFonts w:ascii="Georgia" w:hAnsi="Georgia" w:cs="Times New Roman"/>
          <w:sz w:val="24"/>
          <w:szCs w:val="24"/>
        </w:rPr>
        <w:t xml:space="preserve"> </w:t>
      </w:r>
    </w:p>
    <w:p w:rsidR="00F678CA" w:rsidRPr="00F678CA" w:rsidRDefault="00F678CA" w:rsidP="00C8312C">
      <w:pPr>
        <w:widowControl w:val="0"/>
        <w:autoSpaceDE w:val="0"/>
        <w:autoSpaceDN w:val="0"/>
        <w:adjustRightInd w:val="0"/>
        <w:spacing w:line="276" w:lineRule="auto"/>
        <w:ind w:left="1440"/>
        <w:contextualSpacing/>
        <w:rPr>
          <w:rFonts w:ascii="Georgia" w:hAnsi="Georgia" w:cs="Times New Roman"/>
          <w:sz w:val="24"/>
          <w:szCs w:val="24"/>
        </w:rPr>
      </w:pPr>
      <w:r w:rsidRPr="00F678CA">
        <w:rPr>
          <w:rFonts w:ascii="Georgia" w:hAnsi="Georgia" w:cs="Times New Roman"/>
          <w:sz w:val="24"/>
          <w:szCs w:val="24"/>
        </w:rPr>
        <w:t>The Golden Cockerel Press was founded in 1920 by Harold Midgley Taylor (1893-1925), as a cooperative project between the craftsmen involved in printing and publishing its books. He ran the press until 1924, when ill health left him incapable of continuing operations. Taylor sold the press to Robert Gibbings (1889-1958), a wood engraver who had previously supplied illustrations for some of Taylor’s publications.</w:t>
      </w:r>
    </w:p>
    <w:p w:rsidR="00F678CA" w:rsidRPr="00F678CA" w:rsidRDefault="00F678CA" w:rsidP="00C8312C">
      <w:pPr>
        <w:widowControl w:val="0"/>
        <w:autoSpaceDE w:val="0"/>
        <w:autoSpaceDN w:val="0"/>
        <w:adjustRightInd w:val="0"/>
        <w:spacing w:line="276" w:lineRule="auto"/>
        <w:ind w:left="1440"/>
        <w:contextualSpacing/>
        <w:rPr>
          <w:rFonts w:ascii="Georgia" w:hAnsi="Georgia" w:cs="Times New Roman"/>
          <w:sz w:val="24"/>
          <w:szCs w:val="24"/>
        </w:rPr>
      </w:pPr>
      <w:r w:rsidRPr="00F678CA">
        <w:rPr>
          <w:rFonts w:ascii="Georgia" w:hAnsi="Georgia" w:cs="Times New Roman"/>
          <w:sz w:val="24"/>
          <w:szCs w:val="24"/>
        </w:rPr>
        <w:t>The Golden Cockerel edition of </w:t>
      </w:r>
      <w:r w:rsidRPr="00F678CA">
        <w:rPr>
          <w:rFonts w:ascii="Georgia" w:hAnsi="Georgia" w:cs="Times New Roman"/>
          <w:i/>
          <w:iCs/>
          <w:sz w:val="24"/>
          <w:szCs w:val="24"/>
        </w:rPr>
        <w:t>Twelfth Night</w:t>
      </w:r>
      <w:r w:rsidRPr="00F678CA">
        <w:rPr>
          <w:rFonts w:ascii="Georgia" w:hAnsi="Georgia" w:cs="Times New Roman"/>
          <w:iCs/>
          <w:sz w:val="24"/>
          <w:szCs w:val="24"/>
        </w:rPr>
        <w:t>(1932)</w:t>
      </w:r>
      <w:r w:rsidRPr="00F678CA">
        <w:rPr>
          <w:rFonts w:ascii="Georgia" w:hAnsi="Georgia" w:cs="Times New Roman"/>
          <w:i/>
          <w:sz w:val="24"/>
          <w:szCs w:val="24"/>
        </w:rPr>
        <w:t>,</w:t>
      </w:r>
      <w:r w:rsidRPr="00F678CA">
        <w:rPr>
          <w:rFonts w:ascii="Georgia" w:hAnsi="Georgia" w:cs="Times New Roman"/>
          <w:sz w:val="24"/>
          <w:szCs w:val="24"/>
        </w:rPr>
        <w:t xml:space="preserve"> which was produced while Gibbings owned the imprint, was first suggested by Eric Ravilous (1903-1942), who produced the engraved illustrations for the book. The resulting book took two years to produce. Although the Golden Cockerel Press had enjoyed significant commercial success under Gibbings’ leadership, the worldwide economic depression took a toll on the Press’s sales. In the case of </w:t>
      </w:r>
      <w:r w:rsidRPr="00F678CA">
        <w:rPr>
          <w:rFonts w:ascii="Georgia" w:hAnsi="Georgia" w:cs="Times New Roman"/>
          <w:i/>
          <w:iCs/>
          <w:sz w:val="24"/>
          <w:szCs w:val="24"/>
        </w:rPr>
        <w:t>Twelfth Night,</w:t>
      </w:r>
      <w:r w:rsidRPr="00F678CA">
        <w:rPr>
          <w:rFonts w:ascii="Georgia" w:hAnsi="Georgia" w:cs="Times New Roman"/>
          <w:sz w:val="24"/>
          <w:szCs w:val="24"/>
        </w:rPr>
        <w:t xml:space="preserve"> the book was scaled back from a planned edition of 500 copies to a smaller print run of 275 copies. Even then, the book sold slowly. By 1933, with business growing increasingly worse, Gibbings opted to sell the press. Its next owner, Christopher Sandford (1902-1983), printed under the Golden Cockerel imprint until 1959, when he sold it to its final owner, Thomas Yoseloff (1913-2007). Ravilous’ own career was cut short by the Second World War: in 1939 he was selected as an </w:t>
      </w:r>
      <w:r w:rsidRPr="00F678CA">
        <w:rPr>
          <w:rFonts w:ascii="Georgia" w:hAnsi="Georgia" w:cs="Times New Roman"/>
          <w:sz w:val="24"/>
          <w:szCs w:val="24"/>
        </w:rPr>
        <w:lastRenderedPageBreak/>
        <w:t>Official War Artist, and in 1942 he perished in a plane crash in Iceland while serving with the Royal Marines.” (“Shakespeare and the Private Press”</w:t>
      </w:r>
      <w:hyperlink r:id="rId15" w:history="1"/>
      <w:r w:rsidRPr="00F678CA">
        <w:rPr>
          <w:rFonts w:ascii="Georgia" w:hAnsi="Georgia" w:cs="Times New Roman"/>
          <w:sz w:val="24"/>
          <w:szCs w:val="24"/>
        </w:rPr>
        <w:t>)</w:t>
      </w:r>
    </w:p>
    <w:p w:rsidR="00F678CA" w:rsidRPr="00F678CA" w:rsidRDefault="00F678CA" w:rsidP="00C8312C">
      <w:pPr>
        <w:widowControl w:val="0"/>
        <w:autoSpaceDE w:val="0"/>
        <w:autoSpaceDN w:val="0"/>
        <w:adjustRightInd w:val="0"/>
        <w:spacing w:line="276" w:lineRule="auto"/>
        <w:ind w:firstLine="720"/>
        <w:contextualSpacing/>
        <w:rPr>
          <w:rFonts w:ascii="Georgia" w:hAnsi="Georgia" w:cs="Times New Roman"/>
          <w:bCs/>
          <w:sz w:val="24"/>
          <w:szCs w:val="24"/>
        </w:rPr>
      </w:pPr>
      <w:r w:rsidRPr="00F678CA">
        <w:rPr>
          <w:rFonts w:ascii="Georgia" w:hAnsi="Georgia" w:cs="Times New Roman"/>
          <w:bCs/>
          <w:sz w:val="24"/>
          <w:szCs w:val="24"/>
        </w:rPr>
        <w:t>One very important outcome of the Movement was the Cranach Press opened in Germany in 1913 but had stopped its operation during the war resuming in 1925. The press was founded by Harry Kesslar (1868-1937), a war veteran, aristocrat, diplomat and patron of arts. The First World War had proved traumatic for him as he was part of the military that had fought on the western front as well as the eastern. He had seen the torture Germans did to the civilians (</w:t>
      </w:r>
      <w:r w:rsidRPr="00F678CA">
        <w:rPr>
          <w:rFonts w:ascii="Georgia" w:hAnsi="Georgia" w:cs="Times New Roman"/>
          <w:sz w:val="24"/>
          <w:szCs w:val="24"/>
        </w:rPr>
        <w:t>Gusejnova 49</w:t>
      </w:r>
      <w:r w:rsidRPr="00F678CA">
        <w:rPr>
          <w:rFonts w:ascii="Georgia" w:hAnsi="Georgia" w:cs="Times New Roman"/>
          <w:bCs/>
          <w:sz w:val="24"/>
          <w:szCs w:val="24"/>
        </w:rPr>
        <w:t xml:space="preserve">). Resultantly, his private press had become is source of ventilation. He published various works of socialists and classical writers that fostered his belief in a better world. His press was inspired from Morris’ Kelmscott Press, following the same principle of “traditional craftsmanship in opposition to factory productions” (Jeremy Norman </w:t>
      </w:r>
      <w:hyperlink r:id="rId16" w:history="1"/>
      <w:r w:rsidRPr="00F678CA">
        <w:rPr>
          <w:rFonts w:ascii="Georgia" w:hAnsi="Georgia" w:cs="Times New Roman"/>
          <w:bCs/>
          <w:sz w:val="24"/>
          <w:szCs w:val="24"/>
        </w:rPr>
        <w:t>).</w:t>
      </w:r>
    </w:p>
    <w:p w:rsidR="00F678CA" w:rsidRPr="00F678CA" w:rsidRDefault="00F678CA" w:rsidP="00C8312C">
      <w:pPr>
        <w:widowControl w:val="0"/>
        <w:autoSpaceDE w:val="0"/>
        <w:autoSpaceDN w:val="0"/>
        <w:adjustRightInd w:val="0"/>
        <w:spacing w:line="276" w:lineRule="auto"/>
        <w:ind w:firstLine="720"/>
        <w:contextualSpacing/>
        <w:rPr>
          <w:rFonts w:ascii="Georgia" w:hAnsi="Georgia" w:cs="Times New Roman"/>
          <w:bCs/>
          <w:sz w:val="24"/>
          <w:szCs w:val="24"/>
        </w:rPr>
      </w:pPr>
      <w:r w:rsidRPr="00F678CA">
        <w:rPr>
          <w:rFonts w:ascii="Georgia" w:hAnsi="Georgia" w:cs="Times New Roman"/>
          <w:bCs/>
          <w:sz w:val="24"/>
          <w:szCs w:val="24"/>
        </w:rPr>
        <w:t xml:space="preserve">Kesslar had commissioned the British illustrator Craig to work on an edition of Shakespeare’s </w:t>
      </w:r>
      <w:r w:rsidRPr="00F678CA">
        <w:rPr>
          <w:rFonts w:ascii="Georgia" w:hAnsi="Georgia" w:cs="Times New Roman"/>
          <w:bCs/>
          <w:i/>
          <w:sz w:val="24"/>
          <w:szCs w:val="24"/>
        </w:rPr>
        <w:t xml:space="preserve">Hamlet. </w:t>
      </w:r>
    </w:p>
    <w:p w:rsidR="00F678CA" w:rsidRPr="00F678CA" w:rsidRDefault="00F678CA" w:rsidP="00C8312C">
      <w:pPr>
        <w:widowControl w:val="0"/>
        <w:autoSpaceDE w:val="0"/>
        <w:autoSpaceDN w:val="0"/>
        <w:adjustRightInd w:val="0"/>
        <w:spacing w:line="276" w:lineRule="auto"/>
        <w:ind w:firstLine="720"/>
        <w:contextualSpacing/>
        <w:rPr>
          <w:rFonts w:ascii="Georgia" w:hAnsi="Georgia" w:cs="Times New Roman"/>
          <w:sz w:val="24"/>
          <w:szCs w:val="24"/>
        </w:rPr>
      </w:pPr>
      <w:r w:rsidRPr="00F678CA">
        <w:rPr>
          <w:rFonts w:ascii="Georgia" w:hAnsi="Georgia" w:cs="Times New Roman"/>
          <w:bCs/>
          <w:sz w:val="24"/>
          <w:szCs w:val="24"/>
        </w:rPr>
        <w:t>Edward Gordon Craig was a British illustrator and theatre set designer of international repute. The son of the famous actress Ellen Terry and the architect Edward William Godwin, Craig was involved with modernist theatre, transforming set design and light into a more symbolic and minimalist form of expression.</w:t>
      </w:r>
    </w:p>
    <w:p w:rsidR="00F678CA" w:rsidRPr="00F678CA" w:rsidRDefault="00F678CA" w:rsidP="00F678CA">
      <w:pPr>
        <w:widowControl w:val="0"/>
        <w:autoSpaceDE w:val="0"/>
        <w:autoSpaceDN w:val="0"/>
        <w:adjustRightInd w:val="0"/>
        <w:spacing w:line="276" w:lineRule="auto"/>
        <w:contextualSpacing/>
        <w:rPr>
          <w:rFonts w:ascii="Georgia" w:hAnsi="Georgia" w:cs="Times New Roman"/>
          <w:bCs/>
          <w:sz w:val="24"/>
          <w:szCs w:val="24"/>
        </w:rPr>
      </w:pPr>
    </w:p>
    <w:p w:rsidR="00F678CA" w:rsidRPr="00F678CA" w:rsidRDefault="00F678CA" w:rsidP="00C8312C">
      <w:pPr>
        <w:widowControl w:val="0"/>
        <w:autoSpaceDE w:val="0"/>
        <w:autoSpaceDN w:val="0"/>
        <w:adjustRightInd w:val="0"/>
        <w:spacing w:line="276" w:lineRule="auto"/>
        <w:ind w:firstLine="720"/>
        <w:contextualSpacing/>
        <w:rPr>
          <w:rFonts w:ascii="Georgia" w:hAnsi="Georgia" w:cs="Times New Roman"/>
          <w:bCs/>
          <w:sz w:val="24"/>
          <w:szCs w:val="24"/>
        </w:rPr>
      </w:pPr>
      <w:r w:rsidRPr="00F678CA">
        <w:rPr>
          <w:rFonts w:ascii="Georgia" w:hAnsi="Georgia" w:cs="Times New Roman"/>
          <w:bCs/>
          <w:i/>
          <w:sz w:val="24"/>
          <w:szCs w:val="24"/>
        </w:rPr>
        <w:t xml:space="preserve">Hamlet </w:t>
      </w:r>
      <w:r w:rsidRPr="00F678CA">
        <w:rPr>
          <w:rFonts w:ascii="Georgia" w:hAnsi="Georgia" w:cs="Times New Roman"/>
          <w:bCs/>
          <w:sz w:val="24"/>
          <w:szCs w:val="24"/>
        </w:rPr>
        <w:t>was Craig’s metaphor for his personal quest for his whimsical mother. For he writes in his mother’s memoire</w:t>
      </w:r>
      <w:r w:rsidRPr="00F678CA">
        <w:rPr>
          <w:rFonts w:ascii="Georgia" w:hAnsi="Georgia" w:cs="Times New Roman"/>
          <w:i/>
          <w:sz w:val="24"/>
          <w:szCs w:val="24"/>
        </w:rPr>
        <w:t xml:space="preserve">Ellen Terry and Her Secret Self </w:t>
      </w:r>
      <w:r w:rsidRPr="00F678CA">
        <w:rPr>
          <w:rFonts w:ascii="Georgia" w:hAnsi="Georgia" w:cs="Times New Roman"/>
          <w:sz w:val="24"/>
          <w:szCs w:val="24"/>
        </w:rPr>
        <w:t>(1931) that his mother was just as unresolved as Gertrude who “is divided—vain, corrupt, seduced, yet capable of love and impeded only by the evil of the world around her” : “By his account Terry pampered her son in early childhood, yet later left him to the care of governesses and then sent him to boarding schools. Her approach to him was both indulgent and scolding. She was frequently angered by his mistreatment and abandonment of his wife and several lovers. She defended his theatrical experiments and was proud of his genius, but her regret for the actor that was lost thereby missed the whole point of his voyage out of the world of Lyceum”</w:t>
      </w:r>
      <w:r w:rsidRPr="00F678CA">
        <w:rPr>
          <w:rFonts w:ascii="Georgia" w:hAnsi="Georgia" w:cs="Times New Roman"/>
          <w:b/>
          <w:sz w:val="24"/>
          <w:szCs w:val="24"/>
          <w:vertAlign w:val="superscript"/>
        </w:rPr>
        <w:t>2</w:t>
      </w:r>
      <w:r w:rsidRPr="00F678CA">
        <w:rPr>
          <w:rFonts w:ascii="Georgia" w:hAnsi="Georgia" w:cs="Times New Roman"/>
          <w:sz w:val="24"/>
          <w:szCs w:val="24"/>
        </w:rPr>
        <w:t xml:space="preserve">(qtd. in Payne 308). </w:t>
      </w:r>
    </w:p>
    <w:p w:rsidR="00F678CA" w:rsidRPr="00F678CA" w:rsidRDefault="00F678CA" w:rsidP="00C8312C">
      <w:pPr>
        <w:widowControl w:val="0"/>
        <w:autoSpaceDE w:val="0"/>
        <w:autoSpaceDN w:val="0"/>
        <w:adjustRightInd w:val="0"/>
        <w:spacing w:line="276" w:lineRule="auto"/>
        <w:ind w:firstLine="720"/>
        <w:contextualSpacing/>
        <w:rPr>
          <w:rFonts w:ascii="Georgia" w:hAnsi="Georgia" w:cs="Times New Roman"/>
          <w:sz w:val="24"/>
          <w:szCs w:val="24"/>
        </w:rPr>
      </w:pPr>
      <w:r w:rsidRPr="00F678CA">
        <w:rPr>
          <w:rFonts w:ascii="Georgia" w:hAnsi="Georgia" w:cs="Times New Roman"/>
          <w:sz w:val="24"/>
          <w:szCs w:val="24"/>
        </w:rPr>
        <w:t>Before being invited by Kesslar, Craig had worked on the significant production of The</w:t>
      </w:r>
      <w:r w:rsidRPr="00F678CA">
        <w:rPr>
          <w:rFonts w:ascii="Georgia" w:hAnsi="Georgia" w:cs="Times New Roman"/>
          <w:i/>
          <w:sz w:val="24"/>
          <w:szCs w:val="24"/>
        </w:rPr>
        <w:t xml:space="preserve"> Hamlet</w:t>
      </w:r>
      <w:r w:rsidRPr="00F678CA">
        <w:rPr>
          <w:rFonts w:ascii="Georgia" w:hAnsi="Georgia" w:cs="Times New Roman"/>
          <w:sz w:val="24"/>
          <w:szCs w:val="24"/>
        </w:rPr>
        <w:t xml:space="preserve"> at the Moscow Art Theatre staged by Edward Gordon Craig and Konstantin Stanislavsky in 1911. His transcendent ideas were reflected in some nine or ten plays before being a part of his project with Stanislavsky, including </w:t>
      </w:r>
      <w:r w:rsidRPr="00F678CA">
        <w:rPr>
          <w:rFonts w:ascii="Georgia" w:hAnsi="Georgia" w:cs="Times New Roman"/>
          <w:i/>
          <w:sz w:val="24"/>
          <w:szCs w:val="24"/>
        </w:rPr>
        <w:t>Dido and Aeneas</w:t>
      </w:r>
      <w:r w:rsidRPr="00F678CA">
        <w:rPr>
          <w:rFonts w:ascii="Georgia" w:hAnsi="Georgia" w:cs="Times New Roman"/>
          <w:sz w:val="24"/>
          <w:szCs w:val="24"/>
        </w:rPr>
        <w:t xml:space="preserve"> in 1900 and </w:t>
      </w:r>
      <w:r w:rsidRPr="00F678CA">
        <w:rPr>
          <w:rFonts w:ascii="Georgia" w:hAnsi="Georgia" w:cs="Times New Roman"/>
          <w:i/>
          <w:sz w:val="24"/>
          <w:szCs w:val="24"/>
        </w:rPr>
        <w:t>Rosmersholm</w:t>
      </w:r>
      <w:r w:rsidRPr="00F678CA">
        <w:rPr>
          <w:rFonts w:ascii="Georgia" w:hAnsi="Georgia" w:cs="Times New Roman"/>
          <w:sz w:val="24"/>
          <w:szCs w:val="24"/>
        </w:rPr>
        <w:t xml:space="preserve"> in 1906. The project is important in the history of theatre arts primarily because of Craig’s visionary designs on the stage. His minimalistic approach to stage decoration made Stanislavsky’s </w:t>
      </w:r>
      <w:r w:rsidRPr="00F678CA">
        <w:rPr>
          <w:rFonts w:ascii="Georgia" w:hAnsi="Georgia" w:cs="Times New Roman"/>
          <w:i/>
          <w:sz w:val="24"/>
          <w:szCs w:val="24"/>
        </w:rPr>
        <w:t>Hamlet</w:t>
      </w:r>
      <w:r w:rsidRPr="00F678CA">
        <w:rPr>
          <w:rFonts w:ascii="Georgia" w:hAnsi="Georgia" w:cs="Times New Roman"/>
          <w:sz w:val="24"/>
          <w:szCs w:val="24"/>
        </w:rPr>
        <w:t xml:space="preserve">, “one of the most famous and passionately discussed productions in the history of the modern stage”(Bablet 134). In praise of Craig, Kaoru Osanai (1881-1928), the actor and theatre director </w:t>
      </w:r>
      <w:r w:rsidRPr="00F678CA">
        <w:rPr>
          <w:rFonts w:ascii="Georgia" w:hAnsi="Georgia" w:cs="Times New Roman"/>
          <w:sz w:val="24"/>
          <w:szCs w:val="24"/>
        </w:rPr>
        <w:lastRenderedPageBreak/>
        <w:t xml:space="preserve">who was instrumental in developing modern Japanese theatre, writes, </w:t>
      </w:r>
    </w:p>
    <w:p w:rsidR="00F678CA" w:rsidRPr="00F678CA" w:rsidRDefault="00F678CA" w:rsidP="00C8312C">
      <w:pPr>
        <w:widowControl w:val="0"/>
        <w:autoSpaceDE w:val="0"/>
        <w:autoSpaceDN w:val="0"/>
        <w:adjustRightInd w:val="0"/>
        <w:spacing w:line="276" w:lineRule="auto"/>
        <w:ind w:left="1440"/>
        <w:contextualSpacing/>
        <w:rPr>
          <w:rFonts w:ascii="Georgia" w:hAnsi="Georgia" w:cs="Times New Roman"/>
          <w:sz w:val="24"/>
          <w:szCs w:val="24"/>
        </w:rPr>
      </w:pPr>
      <w:r w:rsidRPr="00F678CA">
        <w:rPr>
          <w:rFonts w:ascii="Georgia" w:hAnsi="Georgia" w:cs="Times New Roman"/>
          <w:sz w:val="24"/>
          <w:szCs w:val="24"/>
        </w:rPr>
        <w:t xml:space="preserve">Of all the things I saw in </w:t>
      </w:r>
      <w:r w:rsidRPr="00F678CA">
        <w:rPr>
          <w:rFonts w:ascii="Georgia" w:hAnsi="Georgia" w:cs="Times New Roman"/>
          <w:i/>
          <w:sz w:val="24"/>
          <w:szCs w:val="24"/>
        </w:rPr>
        <w:t>Hamlet</w:t>
      </w:r>
      <w:r w:rsidRPr="00F678CA">
        <w:rPr>
          <w:rFonts w:ascii="Georgia" w:hAnsi="Georgia" w:cs="Times New Roman"/>
          <w:sz w:val="24"/>
          <w:szCs w:val="24"/>
        </w:rPr>
        <w:t xml:space="preserve"> at the Art Theatre I was most moved by the art of Gordon Craig, as I had expected to be.…His ideals are not "impossible." "Simplicity" in Craig's conception is simplicity in expression and not in content. In his simple composition of straight lines there lies undeniable power. It is not too much to say in Craig's case that art is not an imitation of facts but is the creation of facts (Osanai 593).</w:t>
      </w:r>
    </w:p>
    <w:p w:rsidR="00F678CA" w:rsidRPr="00F678CA" w:rsidRDefault="00F678CA" w:rsidP="00C8312C">
      <w:pPr>
        <w:widowControl w:val="0"/>
        <w:autoSpaceDE w:val="0"/>
        <w:autoSpaceDN w:val="0"/>
        <w:adjustRightInd w:val="0"/>
        <w:spacing w:line="276" w:lineRule="auto"/>
        <w:ind w:firstLine="720"/>
        <w:contextualSpacing/>
        <w:rPr>
          <w:rFonts w:ascii="Georgia" w:hAnsi="Georgia" w:cs="Times New Roman"/>
          <w:iCs/>
          <w:sz w:val="24"/>
          <w:szCs w:val="24"/>
        </w:rPr>
      </w:pPr>
      <w:r w:rsidRPr="00F678CA">
        <w:rPr>
          <w:rFonts w:ascii="Georgia" w:hAnsi="Georgia" w:cs="Times New Roman"/>
          <w:bCs/>
          <w:sz w:val="24"/>
          <w:szCs w:val="24"/>
        </w:rPr>
        <w:t xml:space="preserve">Craig’s formulated a visionary idea that is widely misunderstood—the idea of the </w:t>
      </w:r>
      <w:r w:rsidRPr="00F678CA">
        <w:rPr>
          <w:rFonts w:ascii="Georgia" w:hAnsi="Georgia" w:cs="Times New Roman"/>
          <w:i/>
          <w:iCs/>
          <w:sz w:val="24"/>
          <w:szCs w:val="24"/>
        </w:rPr>
        <w:t>Über-marionette</w:t>
      </w:r>
      <w:r w:rsidRPr="00F678CA">
        <w:rPr>
          <w:rFonts w:ascii="Georgia" w:hAnsi="Georgia" w:cs="Times New Roman"/>
          <w:iCs/>
          <w:sz w:val="24"/>
          <w:szCs w:val="24"/>
        </w:rPr>
        <w:t xml:space="preserve">. His stage productions called for a new theatre, the one that relies on inanimate figures that convey the sense of humanliness but are not humans. </w:t>
      </w:r>
      <w:r w:rsidRPr="00F678CA">
        <w:rPr>
          <w:rFonts w:ascii="Georgia" w:hAnsi="Georgia" w:cs="Times New Roman"/>
          <w:sz w:val="24"/>
          <w:szCs w:val="24"/>
        </w:rPr>
        <w:t xml:space="preserve">“The actor must go, and in its place comes the inanimate figure—the </w:t>
      </w:r>
      <w:r w:rsidRPr="00F678CA">
        <w:rPr>
          <w:rFonts w:ascii="Georgia" w:hAnsi="Georgia" w:cs="Times New Roman"/>
          <w:i/>
          <w:iCs/>
          <w:sz w:val="24"/>
          <w:szCs w:val="24"/>
        </w:rPr>
        <w:t xml:space="preserve">Über-marionette </w:t>
      </w:r>
      <w:r w:rsidRPr="00F678CA">
        <w:rPr>
          <w:rFonts w:ascii="Georgia" w:hAnsi="Georgia" w:cs="Times New Roman"/>
          <w:sz w:val="24"/>
          <w:szCs w:val="24"/>
        </w:rPr>
        <w:t>we may call him, until he has won for himself a new name” (Craig, 1908; 11). He advocated the “noble artificiality”(11) of the marionettes that can be controlled by the director as a means dramatic production in contrast to the human elements of emotion that evade any control. This objective approach to theatre was bound to contradict Stanislavsky’s Naturalism, and their confrontation resulted in some of Craig’s stage settings being declined which later inspired his illustrations for Kessler. In his celebrated essay “The Actor and the Über-marionette” (1908)</w:t>
      </w:r>
      <w:r w:rsidRPr="00F678CA">
        <w:rPr>
          <w:rFonts w:ascii="Georgia" w:hAnsi="Georgia" w:cs="Times New Roman"/>
          <w:iCs/>
          <w:sz w:val="24"/>
          <w:szCs w:val="24"/>
        </w:rPr>
        <w:t xml:space="preserve"> he defines his idea of the theatre, </w:t>
      </w:r>
    </w:p>
    <w:p w:rsidR="00F678CA" w:rsidRPr="00F678CA" w:rsidRDefault="00F678CA" w:rsidP="00C8312C">
      <w:pPr>
        <w:widowControl w:val="0"/>
        <w:autoSpaceDE w:val="0"/>
        <w:autoSpaceDN w:val="0"/>
        <w:adjustRightInd w:val="0"/>
        <w:spacing w:line="276" w:lineRule="auto"/>
        <w:ind w:left="1440"/>
        <w:contextualSpacing/>
        <w:rPr>
          <w:rFonts w:ascii="Georgia" w:hAnsi="Georgia" w:cs="Times New Roman"/>
          <w:sz w:val="24"/>
          <w:szCs w:val="24"/>
        </w:rPr>
      </w:pPr>
      <w:r w:rsidRPr="00F678CA">
        <w:rPr>
          <w:rFonts w:ascii="Georgia" w:hAnsi="Georgia" w:cs="Times New Roman"/>
          <w:sz w:val="24"/>
          <w:szCs w:val="24"/>
        </w:rPr>
        <w:t>Acting is not an art. It is therefore incorrect to speak of the actor as an artist. For accident is the enemy of the artist. Art is the exact antithesis of pandemonium, and pandemonium is created by the tumbling together of many accidents. Art arrives only by design. Therefore to make any work of art it is clear that we may only work in those materials with which we can calculate. Man is not one of those materials. (3)</w:t>
      </w:r>
    </w:p>
    <w:p w:rsidR="00F678CA" w:rsidRPr="00F678CA" w:rsidRDefault="00F678CA" w:rsidP="00C8312C">
      <w:pPr>
        <w:widowControl w:val="0"/>
        <w:autoSpaceDE w:val="0"/>
        <w:autoSpaceDN w:val="0"/>
        <w:adjustRightInd w:val="0"/>
        <w:spacing w:line="276" w:lineRule="auto"/>
        <w:ind w:firstLine="720"/>
        <w:contextualSpacing/>
        <w:rPr>
          <w:rFonts w:ascii="Georgia" w:hAnsi="Georgia" w:cs="Times New Roman"/>
          <w:sz w:val="24"/>
          <w:szCs w:val="24"/>
        </w:rPr>
      </w:pPr>
      <w:r w:rsidRPr="00F678CA">
        <w:rPr>
          <w:rFonts w:ascii="Georgia" w:hAnsi="Georgia" w:cs="Times New Roman"/>
          <w:sz w:val="24"/>
          <w:szCs w:val="24"/>
        </w:rPr>
        <w:t>Craig values the virtue of a puppet as a self-sacrificing entity not subjected to human consciousness that is unruly and disobedient. The presence of this emotionally unrestricted but physically bound structure will dominate the stage. Two quotes from two seminal works by Craig elaborate it:</w:t>
      </w:r>
    </w:p>
    <w:p w:rsidR="00F678CA" w:rsidRPr="00F678CA" w:rsidRDefault="00F678CA" w:rsidP="0045409B">
      <w:pPr>
        <w:widowControl w:val="0"/>
        <w:autoSpaceDE w:val="0"/>
        <w:autoSpaceDN w:val="0"/>
        <w:adjustRightInd w:val="0"/>
        <w:spacing w:line="276" w:lineRule="auto"/>
        <w:ind w:left="1440"/>
        <w:contextualSpacing/>
        <w:rPr>
          <w:rFonts w:ascii="Georgia" w:hAnsi="Georgia" w:cs="Times New Roman"/>
          <w:sz w:val="24"/>
          <w:szCs w:val="24"/>
        </w:rPr>
      </w:pPr>
      <w:r w:rsidRPr="00F678CA">
        <w:rPr>
          <w:rFonts w:ascii="Georgia" w:hAnsi="Georgia" w:cs="Times New Roman"/>
          <w:sz w:val="24"/>
          <w:szCs w:val="24"/>
        </w:rPr>
        <w:t>Why put the actor in a Guignol Theatre ?</w:t>
      </w:r>
    </w:p>
    <w:p w:rsidR="00F678CA" w:rsidRPr="00F678CA" w:rsidRDefault="00F678CA" w:rsidP="0045409B">
      <w:pPr>
        <w:widowControl w:val="0"/>
        <w:autoSpaceDE w:val="0"/>
        <w:autoSpaceDN w:val="0"/>
        <w:adjustRightInd w:val="0"/>
        <w:spacing w:line="276" w:lineRule="auto"/>
        <w:ind w:left="1440"/>
        <w:contextualSpacing/>
        <w:rPr>
          <w:rFonts w:ascii="Georgia" w:hAnsi="Georgia" w:cs="Times New Roman"/>
          <w:sz w:val="24"/>
          <w:szCs w:val="24"/>
        </w:rPr>
      </w:pPr>
      <w:r w:rsidRPr="00F678CA">
        <w:rPr>
          <w:rFonts w:ascii="Georgia" w:hAnsi="Georgia" w:cs="Times New Roman"/>
          <w:sz w:val="24"/>
          <w:szCs w:val="24"/>
        </w:rPr>
        <w:t>Everyone calls him a puppet, and, by Roscius, if he is to be one, he shall be a superior puppet. He shall be as small as you like, the place shall tower above his little head, and yet he shall dominate it. His face shall go, nothing shall be left but his actions, and yet he shall dominate it. Movement shall be taken from him, and he shall be placed in so hopeless a situation that nothing but a mask shall be left him, and yet he shall dominate. But all this shall be done only at enormous self-sacrifice for the sake of the theatre. (Craig, 1911;33)</w:t>
      </w:r>
    </w:p>
    <w:p w:rsidR="00F678CA" w:rsidRPr="00F678CA" w:rsidRDefault="00F678CA" w:rsidP="0045409B">
      <w:pPr>
        <w:widowControl w:val="0"/>
        <w:autoSpaceDE w:val="0"/>
        <w:autoSpaceDN w:val="0"/>
        <w:adjustRightInd w:val="0"/>
        <w:spacing w:line="276" w:lineRule="auto"/>
        <w:ind w:firstLine="720"/>
        <w:contextualSpacing/>
        <w:rPr>
          <w:rFonts w:ascii="Georgia" w:hAnsi="Georgia" w:cs="Times New Roman"/>
          <w:sz w:val="24"/>
          <w:szCs w:val="24"/>
        </w:rPr>
      </w:pPr>
      <w:r w:rsidRPr="00F678CA">
        <w:rPr>
          <w:rFonts w:ascii="Georgia" w:hAnsi="Georgia" w:cs="Times New Roman"/>
          <w:sz w:val="24"/>
          <w:szCs w:val="24"/>
        </w:rPr>
        <w:lastRenderedPageBreak/>
        <w:t>The second one is from his essay “Gentlemen, the Marionette!” (1912) :</w:t>
      </w:r>
    </w:p>
    <w:p w:rsidR="00F678CA" w:rsidRPr="00F678CA" w:rsidRDefault="00F678CA" w:rsidP="0045409B">
      <w:pPr>
        <w:widowControl w:val="0"/>
        <w:autoSpaceDE w:val="0"/>
        <w:autoSpaceDN w:val="0"/>
        <w:adjustRightInd w:val="0"/>
        <w:spacing w:line="276" w:lineRule="auto"/>
        <w:ind w:left="1440"/>
        <w:contextualSpacing/>
        <w:rPr>
          <w:rFonts w:ascii="Georgia" w:hAnsi="Georgia" w:cs="Times New Roman"/>
          <w:sz w:val="24"/>
          <w:szCs w:val="24"/>
        </w:rPr>
      </w:pPr>
      <w:r w:rsidRPr="00F678CA">
        <w:rPr>
          <w:rFonts w:ascii="Georgia" w:hAnsi="Georgia" w:cs="Times New Roman"/>
          <w:sz w:val="24"/>
          <w:szCs w:val="24"/>
        </w:rPr>
        <w:t>There is only one actor—nay, one man—who has the soul of the dramatic poet and who has ever served as the true and loyal interpreter of the poet. This is the Marionette … . You have come across him in some deserted cathedral in Italy or even in England … There you will have seen him hanging upon the Cross … He is interpreting the Drama of the Poets—Man and God … Or you have caught a glimpse of him in some temple in the Far East, enacting a more serene drama … Or in the arms of a child you have seen him, interpreting the littlehearts and the larger dreams of love! (95–7)</w:t>
      </w:r>
    </w:p>
    <w:p w:rsidR="00F678CA" w:rsidRPr="00F678CA" w:rsidRDefault="00F678CA" w:rsidP="0045409B">
      <w:pPr>
        <w:widowControl w:val="0"/>
        <w:autoSpaceDE w:val="0"/>
        <w:autoSpaceDN w:val="0"/>
        <w:adjustRightInd w:val="0"/>
        <w:spacing w:line="276" w:lineRule="auto"/>
        <w:ind w:firstLine="720"/>
        <w:contextualSpacing/>
        <w:rPr>
          <w:rFonts w:ascii="Georgia" w:hAnsi="Georgia" w:cs="Times New Roman"/>
          <w:sz w:val="24"/>
          <w:szCs w:val="24"/>
        </w:rPr>
      </w:pPr>
      <w:r w:rsidRPr="00F678CA">
        <w:rPr>
          <w:rFonts w:ascii="Georgia" w:hAnsi="Georgia" w:cs="Times New Roman"/>
          <w:sz w:val="24"/>
          <w:szCs w:val="24"/>
        </w:rPr>
        <w:t xml:space="preserve">Count Harry Graf Kessler’s </w:t>
      </w:r>
      <w:r w:rsidRPr="00F678CA">
        <w:rPr>
          <w:rFonts w:ascii="Georgia" w:hAnsi="Georgia" w:cs="Times New Roman"/>
          <w:i/>
          <w:sz w:val="24"/>
          <w:szCs w:val="24"/>
        </w:rPr>
        <w:t xml:space="preserve">Hamlet </w:t>
      </w:r>
      <w:r w:rsidRPr="00F678CA">
        <w:rPr>
          <w:rFonts w:ascii="Georgia" w:hAnsi="Georgia" w:cs="Times New Roman"/>
          <w:sz w:val="24"/>
          <w:szCs w:val="24"/>
        </w:rPr>
        <w:t xml:space="preserve">was first published in German in 1928 and republished in English in 1930. The 1928 edition consists of Gerhart Hauptman’s translation of the second quarto of Shakespeare’s play along with </w:t>
      </w:r>
      <w:r w:rsidRPr="00F678CA">
        <w:rPr>
          <w:rFonts w:ascii="Georgia" w:hAnsi="Georgia" w:cs="Times New Roman"/>
          <w:i/>
          <w:sz w:val="24"/>
          <w:szCs w:val="24"/>
        </w:rPr>
        <w:t>Saxo Grammaticus</w:t>
      </w:r>
      <w:r w:rsidRPr="00F678CA">
        <w:rPr>
          <w:rFonts w:ascii="Georgia" w:hAnsi="Georgia" w:cs="Times New Roman"/>
          <w:sz w:val="24"/>
          <w:szCs w:val="24"/>
        </w:rPr>
        <w:t xml:space="preserve"> and </w:t>
      </w:r>
      <w:r w:rsidRPr="00F678CA">
        <w:rPr>
          <w:rFonts w:ascii="Georgia" w:hAnsi="Georgia" w:cs="Times New Roman"/>
          <w:i/>
          <w:sz w:val="24"/>
          <w:szCs w:val="24"/>
        </w:rPr>
        <w:t xml:space="preserve">Francois de Belleforest </w:t>
      </w:r>
      <w:r w:rsidRPr="00F678CA">
        <w:rPr>
          <w:rFonts w:ascii="Georgia" w:hAnsi="Georgia" w:cs="Times New Roman"/>
          <w:sz w:val="24"/>
          <w:szCs w:val="24"/>
        </w:rPr>
        <w:t xml:space="preserve">on the margin, the two probable sources of Shakespeare’s play. The textual editor of the English edition is Dover Wilson and a total of only 300 books were printed on hand-presses and handmade paper. There are eighty to ninety designs for the two editions. Newman divides them on the basis of their generic styles: independent figures and initials, single-block scenes, and multi-block compositions, also known as composite blocks (132–39).Fifty-one independent figures and initials are difficult to place in chronology while nineteen other figures are created between 1907 and 1912. These nineteen were curved out on wood reliefs to serve as models for his theatrical experiments (James P. Taylor 59). </w:t>
      </w:r>
    </w:p>
    <w:p w:rsidR="00F678CA" w:rsidRPr="00F678CA" w:rsidRDefault="00F678CA" w:rsidP="00A23CF4">
      <w:pPr>
        <w:widowControl w:val="0"/>
        <w:autoSpaceDE w:val="0"/>
        <w:autoSpaceDN w:val="0"/>
        <w:adjustRightInd w:val="0"/>
        <w:spacing w:line="276" w:lineRule="auto"/>
        <w:contextualSpacing/>
        <w:jc w:val="center"/>
        <w:rPr>
          <w:rFonts w:ascii="Georgia" w:hAnsi="Georgia" w:cs="Times New Roman"/>
          <w:sz w:val="24"/>
          <w:szCs w:val="24"/>
        </w:rPr>
      </w:pPr>
      <w:r w:rsidRPr="00F678CA">
        <w:rPr>
          <w:rFonts w:ascii="Georgia" w:hAnsi="Georgia" w:cs="Times New Roman"/>
          <w:sz w:val="24"/>
          <w:szCs w:val="24"/>
          <w:lang w:val="en-IN"/>
        </w:rPr>
        <w:drawing>
          <wp:inline distT="0" distB="0" distL="0" distR="0">
            <wp:extent cx="1687195" cy="2531450"/>
            <wp:effectExtent l="0" t="0" r="0" b="0"/>
            <wp:docPr id="6" name="Picture 0" descr="illustrations-for-hamlet-by-c_100_l_16_title_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lustrations-for-hamlet-by-c_100_l_16_title_page.jpg"/>
                    <pic:cNvPicPr/>
                  </pic:nvPicPr>
                  <pic:blipFill>
                    <a:blip r:embed="rId17" cstate="print"/>
                    <a:stretch>
                      <a:fillRect/>
                    </a:stretch>
                  </pic:blipFill>
                  <pic:spPr>
                    <a:xfrm>
                      <a:off x="0" y="0"/>
                      <a:ext cx="1698509" cy="2548425"/>
                    </a:xfrm>
                    <a:prstGeom prst="rect">
                      <a:avLst/>
                    </a:prstGeom>
                  </pic:spPr>
                </pic:pic>
              </a:graphicData>
            </a:graphic>
          </wp:inline>
        </w:drawing>
      </w:r>
    </w:p>
    <w:p w:rsidR="00F678CA" w:rsidRPr="00F678CA" w:rsidRDefault="00F678CA" w:rsidP="00264A11">
      <w:pPr>
        <w:widowControl w:val="0"/>
        <w:autoSpaceDE w:val="0"/>
        <w:autoSpaceDN w:val="0"/>
        <w:adjustRightInd w:val="0"/>
        <w:spacing w:line="276" w:lineRule="auto"/>
        <w:contextualSpacing/>
        <w:jc w:val="center"/>
        <w:rPr>
          <w:rFonts w:ascii="Georgia" w:hAnsi="Georgia" w:cs="Times New Roman"/>
          <w:sz w:val="24"/>
          <w:szCs w:val="24"/>
        </w:rPr>
      </w:pPr>
      <w:r w:rsidRPr="00F678CA">
        <w:rPr>
          <w:rFonts w:ascii="Georgia" w:hAnsi="Georgia" w:cs="Times New Roman"/>
          <w:sz w:val="24"/>
          <w:szCs w:val="24"/>
        </w:rPr>
        <w:t>Figure 1.</w:t>
      </w:r>
    </w:p>
    <w:p w:rsidR="00F678CA" w:rsidRP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t xml:space="preserve">Kessler’s interest in Craig’s art form is vivid in his appreciation for him. He called on him to look </w:t>
      </w:r>
      <w:r w:rsidRPr="00F678CA">
        <w:rPr>
          <w:rFonts w:ascii="Georgia" w:hAnsi="Georgia" w:cs="Times New Roman"/>
          <w:sz w:val="24"/>
          <w:szCs w:val="24"/>
        </w:rPr>
        <w:lastRenderedPageBreak/>
        <w:t xml:space="preserve">at his designs and perhaps plan a book on which Craig could implement his new ideas: </w:t>
      </w:r>
    </w:p>
    <w:p w:rsidR="00F678CA" w:rsidRPr="00F678CA" w:rsidRDefault="00F678CA" w:rsidP="008E1AAC">
      <w:pPr>
        <w:widowControl w:val="0"/>
        <w:autoSpaceDE w:val="0"/>
        <w:autoSpaceDN w:val="0"/>
        <w:adjustRightInd w:val="0"/>
        <w:spacing w:line="276" w:lineRule="auto"/>
        <w:ind w:left="1440"/>
        <w:contextualSpacing/>
        <w:rPr>
          <w:rFonts w:ascii="Georgia" w:hAnsi="Georgia" w:cs="Times New Roman"/>
          <w:sz w:val="24"/>
          <w:szCs w:val="24"/>
        </w:rPr>
      </w:pPr>
      <w:r w:rsidRPr="00F678CA">
        <w:rPr>
          <w:rFonts w:ascii="Georgia" w:hAnsi="Georgia" w:cs="Times New Roman"/>
          <w:sz w:val="24"/>
          <w:szCs w:val="24"/>
        </w:rPr>
        <w:t>The effects which Craig showed on the stage [model] were manifold and grand. Magnificent, however, and truly inspired were the drawings and prints he produced afterwards. He has made prints on paper from his wooden figures [from the model], which can take their place beside the most beautiful woodcuts of the quarter century, so perfect is their balance between line and meaning, between inner fire and fascinating decorative effect….</w:t>
      </w:r>
    </w:p>
    <w:p w:rsidR="00F678CA" w:rsidRPr="00F678CA" w:rsidRDefault="00F678CA" w:rsidP="008E1AAC">
      <w:pPr>
        <w:widowControl w:val="0"/>
        <w:autoSpaceDE w:val="0"/>
        <w:autoSpaceDN w:val="0"/>
        <w:adjustRightInd w:val="0"/>
        <w:spacing w:line="276" w:lineRule="auto"/>
        <w:ind w:left="1440"/>
        <w:contextualSpacing/>
        <w:rPr>
          <w:rFonts w:ascii="Georgia" w:hAnsi="Georgia" w:cs="Times New Roman"/>
          <w:sz w:val="24"/>
          <w:szCs w:val="24"/>
        </w:rPr>
      </w:pPr>
    </w:p>
    <w:p w:rsidR="00F678CA" w:rsidRPr="00F678CA" w:rsidRDefault="00F678CA" w:rsidP="008E1AAC">
      <w:pPr>
        <w:widowControl w:val="0"/>
        <w:autoSpaceDE w:val="0"/>
        <w:autoSpaceDN w:val="0"/>
        <w:adjustRightInd w:val="0"/>
        <w:spacing w:line="276" w:lineRule="auto"/>
        <w:ind w:left="1440"/>
        <w:contextualSpacing/>
        <w:rPr>
          <w:rFonts w:ascii="Georgia" w:hAnsi="Georgia" w:cs="Times New Roman"/>
          <w:sz w:val="24"/>
          <w:szCs w:val="24"/>
        </w:rPr>
      </w:pPr>
      <w:r w:rsidRPr="00F678CA">
        <w:rPr>
          <w:rFonts w:ascii="Georgia" w:hAnsi="Georgia" w:cs="Times New Roman"/>
          <w:sz w:val="24"/>
          <w:szCs w:val="24"/>
        </w:rPr>
        <w:t xml:space="preserve">[I] showed him the trial proofs for the Virgil on our paper and suggested that my Press might publish a book on this paper, with his figures and woodcuts. I thought perhaps a play by Shakespeare: </w:t>
      </w:r>
      <w:r w:rsidRPr="00F678CA">
        <w:rPr>
          <w:rFonts w:ascii="Georgia" w:hAnsi="Georgia" w:cs="Times New Roman"/>
          <w:i/>
          <w:iCs/>
          <w:sz w:val="24"/>
          <w:szCs w:val="24"/>
        </w:rPr>
        <w:t xml:space="preserve">Antony and Cleopatra </w:t>
      </w:r>
      <w:r w:rsidRPr="00F678CA">
        <w:rPr>
          <w:rFonts w:ascii="Georgia" w:hAnsi="Georgia" w:cs="Times New Roman"/>
          <w:sz w:val="24"/>
          <w:szCs w:val="24"/>
        </w:rPr>
        <w:t xml:space="preserve">or </w:t>
      </w:r>
      <w:r w:rsidRPr="00F678CA">
        <w:rPr>
          <w:rFonts w:ascii="Georgia" w:hAnsi="Georgia" w:cs="Times New Roman"/>
          <w:i/>
          <w:iCs/>
          <w:sz w:val="24"/>
          <w:szCs w:val="24"/>
        </w:rPr>
        <w:t>Macbeth</w:t>
      </w:r>
      <w:r w:rsidRPr="00F678CA">
        <w:rPr>
          <w:rFonts w:ascii="Georgia" w:hAnsi="Georgia" w:cs="Times New Roman"/>
          <w:sz w:val="24"/>
          <w:szCs w:val="24"/>
        </w:rPr>
        <w:t xml:space="preserve">, with prints from his wooden figures, and other woodcuts, which would represent the effect created by the screens on his stage … Craig accepted my proposal but said, ‘If we are to do something, why not </w:t>
      </w:r>
      <w:r w:rsidRPr="00F678CA">
        <w:rPr>
          <w:rFonts w:ascii="Georgia" w:hAnsi="Georgia" w:cs="Times New Roman"/>
          <w:i/>
          <w:iCs/>
          <w:sz w:val="24"/>
          <w:szCs w:val="24"/>
        </w:rPr>
        <w:t>Hamlet</w:t>
      </w:r>
      <w:r w:rsidRPr="00F678CA">
        <w:rPr>
          <w:rFonts w:ascii="Georgia" w:hAnsi="Georgia" w:cs="Times New Roman"/>
          <w:sz w:val="24"/>
          <w:szCs w:val="24"/>
        </w:rPr>
        <w:t>?’ He asked me too whether I thought it possible to use outlines of the screen configurations in the text. He proposed to recreate the stage effects by printing rectangular blocks in different tones of black and grey. (qtd. in Newman 127).</w:t>
      </w:r>
    </w:p>
    <w:p w:rsidR="00F678CA" w:rsidRPr="00F678CA" w:rsidRDefault="00F678CA" w:rsidP="008E1AAC">
      <w:pPr>
        <w:widowControl w:val="0"/>
        <w:autoSpaceDE w:val="0"/>
        <w:autoSpaceDN w:val="0"/>
        <w:adjustRightInd w:val="0"/>
        <w:spacing w:line="276" w:lineRule="auto"/>
        <w:ind w:firstLine="720"/>
        <w:contextualSpacing/>
        <w:rPr>
          <w:rFonts w:ascii="Georgia" w:hAnsi="Georgia" w:cs="Times New Roman"/>
          <w:sz w:val="24"/>
          <w:szCs w:val="24"/>
        </w:rPr>
      </w:pPr>
      <w:r w:rsidRPr="00F678CA">
        <w:rPr>
          <w:rFonts w:ascii="Georgia" w:hAnsi="Georgia" w:cs="Times New Roman"/>
          <w:sz w:val="24"/>
          <w:szCs w:val="24"/>
        </w:rPr>
        <w:t xml:space="preserve">This rare edition of </w:t>
      </w:r>
      <w:r w:rsidRPr="00F678CA">
        <w:rPr>
          <w:rFonts w:ascii="Georgia" w:hAnsi="Georgia" w:cs="Times New Roman"/>
          <w:i/>
          <w:sz w:val="24"/>
          <w:szCs w:val="24"/>
        </w:rPr>
        <w:t xml:space="preserve">Hamlet </w:t>
      </w:r>
      <w:r w:rsidRPr="00F678CA">
        <w:rPr>
          <w:rFonts w:ascii="Georgia" w:hAnsi="Georgia" w:cs="Times New Roman"/>
          <w:sz w:val="24"/>
          <w:szCs w:val="24"/>
        </w:rPr>
        <w:t>not only uses black woodcut-like images (Figure 1) to illustrate but also to interact with the play-text and to generate meaning by shaping the page. The image below shows the opening scene. The tension in the entry of the ghost is made palpable here by huddling confused Bernardo and Horatio on the majuscule “W” of “whose there?” (I.i.i) (Figure 2) and placing the ghost in the other edge of the page in a black shroud instead of the “warlike form” (I.i.46). This alteration in the appearance of the ghost conveys eeriness and makes the text communicate a sense of foreboding to the reader.</w:t>
      </w:r>
    </w:p>
    <w:p w:rsidR="00F678CA" w:rsidRPr="00F678CA" w:rsidRDefault="00F678CA" w:rsidP="008E1AAC">
      <w:pPr>
        <w:widowControl w:val="0"/>
        <w:autoSpaceDE w:val="0"/>
        <w:autoSpaceDN w:val="0"/>
        <w:adjustRightInd w:val="0"/>
        <w:spacing w:line="276" w:lineRule="auto"/>
        <w:contextualSpacing/>
        <w:jc w:val="center"/>
        <w:rPr>
          <w:rFonts w:ascii="Georgia" w:hAnsi="Georgia" w:cs="Times New Roman"/>
          <w:sz w:val="24"/>
          <w:szCs w:val="24"/>
        </w:rPr>
      </w:pPr>
      <w:r w:rsidRPr="00F678CA">
        <w:rPr>
          <w:rFonts w:ascii="Georgia" w:hAnsi="Georgia" w:cs="Times New Roman"/>
          <w:sz w:val="24"/>
          <w:szCs w:val="24"/>
          <w:lang w:val="en-IN"/>
        </w:rPr>
        <w:drawing>
          <wp:inline distT="0" distB="0" distL="0" distR="0">
            <wp:extent cx="2765409" cy="2136308"/>
            <wp:effectExtent l="0" t="0" r="0" b="0"/>
            <wp:docPr id="7" name="Picture 3" descr="c36e748206c1324dbdab945cf4b0be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36e748206c1324dbdab945cf4b0bedc.jpg"/>
                    <pic:cNvPicPr/>
                  </pic:nvPicPr>
                  <pic:blipFill>
                    <a:blip r:embed="rId18" cstate="print"/>
                    <a:stretch>
                      <a:fillRect/>
                    </a:stretch>
                  </pic:blipFill>
                  <pic:spPr>
                    <a:xfrm>
                      <a:off x="0" y="0"/>
                      <a:ext cx="2874216" cy="2220363"/>
                    </a:xfrm>
                    <a:prstGeom prst="rect">
                      <a:avLst/>
                    </a:prstGeom>
                  </pic:spPr>
                </pic:pic>
              </a:graphicData>
            </a:graphic>
          </wp:inline>
        </w:drawing>
      </w:r>
    </w:p>
    <w:p w:rsidR="00F678CA" w:rsidRPr="00F678CA" w:rsidRDefault="00F678CA" w:rsidP="008E1AAC">
      <w:pPr>
        <w:widowControl w:val="0"/>
        <w:autoSpaceDE w:val="0"/>
        <w:autoSpaceDN w:val="0"/>
        <w:adjustRightInd w:val="0"/>
        <w:spacing w:line="276" w:lineRule="auto"/>
        <w:contextualSpacing/>
        <w:jc w:val="center"/>
        <w:rPr>
          <w:rFonts w:ascii="Georgia" w:hAnsi="Georgia" w:cs="Times New Roman"/>
          <w:sz w:val="24"/>
          <w:szCs w:val="24"/>
        </w:rPr>
      </w:pPr>
      <w:r w:rsidRPr="00F678CA">
        <w:rPr>
          <w:rFonts w:ascii="Georgia" w:hAnsi="Georgia" w:cs="Times New Roman"/>
          <w:sz w:val="24"/>
          <w:szCs w:val="24"/>
        </w:rPr>
        <w:lastRenderedPageBreak/>
        <w:t>Figure 2.</w:t>
      </w:r>
    </w:p>
    <w:p w:rsidR="00F678CA" w:rsidRPr="00F678CA" w:rsidRDefault="00F678CA" w:rsidP="008E1AAC">
      <w:pPr>
        <w:widowControl w:val="0"/>
        <w:autoSpaceDE w:val="0"/>
        <w:autoSpaceDN w:val="0"/>
        <w:adjustRightInd w:val="0"/>
        <w:spacing w:line="276" w:lineRule="auto"/>
        <w:ind w:firstLine="720"/>
        <w:contextualSpacing/>
        <w:rPr>
          <w:rFonts w:ascii="Georgia" w:hAnsi="Georgia" w:cs="Times New Roman"/>
          <w:sz w:val="24"/>
          <w:szCs w:val="24"/>
        </w:rPr>
      </w:pPr>
      <w:r w:rsidRPr="00F678CA">
        <w:rPr>
          <w:rFonts w:ascii="Georgia" w:hAnsi="Georgia" w:cs="Times New Roman"/>
          <w:sz w:val="24"/>
          <w:szCs w:val="24"/>
        </w:rPr>
        <w:t xml:space="preserve">The second act of the first scene in the second Quarto of Shakespeare’s </w:t>
      </w:r>
      <w:r w:rsidRPr="00F678CA">
        <w:rPr>
          <w:rFonts w:ascii="Georgia" w:hAnsi="Georgia" w:cs="Times New Roman"/>
          <w:i/>
          <w:sz w:val="24"/>
          <w:szCs w:val="24"/>
        </w:rPr>
        <w:t>Hamlet</w:t>
      </w:r>
      <w:r w:rsidRPr="00F678CA">
        <w:rPr>
          <w:rFonts w:ascii="Georgia" w:hAnsi="Georgia" w:cs="Times New Roman"/>
          <w:sz w:val="24"/>
          <w:szCs w:val="24"/>
        </w:rPr>
        <w:t xml:space="preserve"> begins with the stage direction that is different from Quarto 1. It ends with “</w:t>
      </w:r>
      <w:r w:rsidRPr="00F678CA">
        <w:rPr>
          <w:rFonts w:ascii="Georgia" w:hAnsi="Georgia" w:cs="Times New Roman"/>
          <w:i/>
          <w:sz w:val="24"/>
          <w:szCs w:val="24"/>
        </w:rPr>
        <w:t>Hamlet, Cum Alijs</w:t>
      </w:r>
      <w:r w:rsidRPr="00F678CA">
        <w:rPr>
          <w:rFonts w:ascii="Georgia" w:hAnsi="Georgia" w:cs="Times New Roman"/>
          <w:sz w:val="24"/>
          <w:szCs w:val="24"/>
        </w:rPr>
        <w:t>” instead of “</w:t>
      </w:r>
      <w:r w:rsidRPr="00F678CA">
        <w:rPr>
          <w:rFonts w:ascii="Georgia" w:hAnsi="Georgia" w:cs="Times New Roman"/>
          <w:i/>
          <w:sz w:val="24"/>
          <w:szCs w:val="24"/>
        </w:rPr>
        <w:t>Hamlet, with others</w:t>
      </w:r>
      <w:r w:rsidRPr="00F678CA">
        <w:rPr>
          <w:rFonts w:ascii="Georgia" w:hAnsi="Georgia" w:cs="Times New Roman"/>
          <w:sz w:val="24"/>
          <w:szCs w:val="24"/>
        </w:rPr>
        <w:t xml:space="preserve">”. The difference in the second Quarto is “perhaps indicating that he is visibly separated from the King and the Queen by this as well as his mourning clothes.” (Thompson 165). Craig makes this visible by placing Hamlet in the forefront in a prominent colour than the rest. It was the same design that he had used for Stanislavsky’s production: </w:t>
      </w:r>
    </w:p>
    <w:p w:rsidR="00F678CA" w:rsidRP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lang w:val="en-IN"/>
        </w:rPr>
        <w:drawing>
          <wp:inline distT="0" distB="0" distL="0" distR="0">
            <wp:extent cx="6031461" cy="2171700"/>
            <wp:effectExtent l="19050" t="0" r="7389" b="0"/>
            <wp:docPr id="9" name="Picture 0" descr="combin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bined.png"/>
                    <pic:cNvPicPr/>
                  </pic:nvPicPr>
                  <pic:blipFill>
                    <a:blip r:embed="rId19"/>
                    <a:stretch>
                      <a:fillRect/>
                    </a:stretch>
                  </pic:blipFill>
                  <pic:spPr>
                    <a:xfrm>
                      <a:off x="0" y="0"/>
                      <a:ext cx="6031461" cy="2171700"/>
                    </a:xfrm>
                    <a:prstGeom prst="rect">
                      <a:avLst/>
                    </a:prstGeom>
                  </pic:spPr>
                </pic:pic>
              </a:graphicData>
            </a:graphic>
          </wp:inline>
        </w:drawing>
      </w:r>
    </w:p>
    <w:p w:rsidR="00F678CA" w:rsidRPr="00F678CA" w:rsidRDefault="00F678CA" w:rsidP="008E1AAC">
      <w:pPr>
        <w:widowControl w:val="0"/>
        <w:autoSpaceDE w:val="0"/>
        <w:autoSpaceDN w:val="0"/>
        <w:adjustRightInd w:val="0"/>
        <w:spacing w:line="276" w:lineRule="auto"/>
        <w:ind w:left="720" w:firstLine="720"/>
        <w:contextualSpacing/>
        <w:rPr>
          <w:rFonts w:ascii="Georgia" w:hAnsi="Georgia" w:cs="Times New Roman"/>
          <w:sz w:val="24"/>
          <w:szCs w:val="24"/>
        </w:rPr>
      </w:pPr>
      <w:r w:rsidRPr="00F678CA">
        <w:rPr>
          <w:rFonts w:ascii="Georgia" w:hAnsi="Georgia" w:cs="Times New Roman"/>
          <w:sz w:val="24"/>
          <w:szCs w:val="24"/>
        </w:rPr>
        <w:t xml:space="preserve">Figure 3. </w:t>
      </w:r>
      <w:r w:rsidRPr="00F678CA">
        <w:rPr>
          <w:rFonts w:ascii="Georgia" w:hAnsi="Georgia" w:cs="Times New Roman"/>
          <w:sz w:val="24"/>
          <w:szCs w:val="24"/>
        </w:rPr>
        <w:tab/>
      </w:r>
      <w:r w:rsidRPr="00F678CA">
        <w:rPr>
          <w:rFonts w:ascii="Georgia" w:hAnsi="Georgia" w:cs="Times New Roman"/>
          <w:sz w:val="24"/>
          <w:szCs w:val="24"/>
        </w:rPr>
        <w:tab/>
      </w:r>
      <w:r w:rsidRPr="00F678CA">
        <w:rPr>
          <w:rFonts w:ascii="Georgia" w:hAnsi="Georgia" w:cs="Times New Roman"/>
          <w:sz w:val="24"/>
          <w:szCs w:val="24"/>
        </w:rPr>
        <w:tab/>
      </w:r>
      <w:r w:rsidRPr="00F678CA">
        <w:rPr>
          <w:rFonts w:ascii="Georgia" w:hAnsi="Georgia" w:cs="Times New Roman"/>
          <w:sz w:val="24"/>
          <w:szCs w:val="24"/>
        </w:rPr>
        <w:tab/>
      </w:r>
      <w:r w:rsidR="008E1AAC">
        <w:rPr>
          <w:rFonts w:ascii="Georgia" w:hAnsi="Georgia" w:cs="Times New Roman"/>
          <w:sz w:val="24"/>
          <w:szCs w:val="24"/>
        </w:rPr>
        <w:tab/>
      </w:r>
      <w:r w:rsidR="008E1AAC">
        <w:rPr>
          <w:rFonts w:ascii="Georgia" w:hAnsi="Georgia" w:cs="Times New Roman"/>
          <w:sz w:val="24"/>
          <w:szCs w:val="24"/>
        </w:rPr>
        <w:tab/>
      </w:r>
      <w:r w:rsidRPr="00F678CA">
        <w:rPr>
          <w:rFonts w:ascii="Georgia" w:hAnsi="Georgia" w:cs="Times New Roman"/>
          <w:sz w:val="24"/>
          <w:szCs w:val="24"/>
        </w:rPr>
        <w:t>Figure 4.</w:t>
      </w:r>
    </w:p>
    <w:p w:rsidR="00F678CA" w:rsidRPr="00F678CA" w:rsidRDefault="00F678CA" w:rsidP="00F678CA">
      <w:pPr>
        <w:widowControl w:val="0"/>
        <w:autoSpaceDE w:val="0"/>
        <w:autoSpaceDN w:val="0"/>
        <w:adjustRightInd w:val="0"/>
        <w:spacing w:line="276" w:lineRule="auto"/>
        <w:contextualSpacing/>
        <w:rPr>
          <w:rFonts w:ascii="Georgia" w:hAnsi="Georgia" w:cs="Times New Roman"/>
          <w:sz w:val="24"/>
          <w:szCs w:val="24"/>
        </w:rPr>
      </w:pPr>
    </w:p>
    <w:p w:rsidR="00F678CA" w:rsidRP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t xml:space="preserve">Craig writes his vision about the image on the left (Figure 3) and repeats it for the one on the right (Figure 4), </w:t>
      </w:r>
    </w:p>
    <w:p w:rsidR="00F678CA" w:rsidRPr="00F678CA" w:rsidRDefault="00F678CA" w:rsidP="008E1AAC">
      <w:pPr>
        <w:widowControl w:val="0"/>
        <w:autoSpaceDE w:val="0"/>
        <w:autoSpaceDN w:val="0"/>
        <w:adjustRightInd w:val="0"/>
        <w:spacing w:line="276" w:lineRule="auto"/>
        <w:ind w:left="2160"/>
        <w:contextualSpacing/>
        <w:rPr>
          <w:rFonts w:ascii="Georgia" w:hAnsi="Georgia" w:cs="Times New Roman"/>
          <w:sz w:val="24"/>
          <w:szCs w:val="24"/>
        </w:rPr>
      </w:pPr>
      <w:r w:rsidRPr="00F678CA">
        <w:rPr>
          <w:rFonts w:ascii="Georgia" w:hAnsi="Georgia" w:cs="Times New Roman"/>
          <w:sz w:val="24"/>
          <w:szCs w:val="24"/>
        </w:rPr>
        <w:t>“You see the stage divided by a barrier. On the one side sits Hamlet, fallen, as it were, into a dream, on the other side you see his dream.You see it, as it were, through the mind's eye of Hamlet. That which is behind him is like molten gold. It is the Court of the King and Queen of Denmark.It is the grotesque caricature of a vile kind of royalty. The King speaks as if he were an automaton; his jaws snap on the words, he grunts them out ferociously. If you will read the words in the play, you will see that they are pure caricature, and should be treated as such. It is not an actual thing—it is a vision. The barrier which divides Hamlet from the Court is what you will, but to him itseems to be like the shrouded graves of his hopes, amongst which lies his father'sbody—murdered.” (Craig, 1911; 81)</w:t>
      </w:r>
    </w:p>
    <w:p w:rsidR="00F678CA" w:rsidRP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t xml:space="preserve">The entire Act III scene 1 is calibrated with meaningful black-figure simplistic illustrations that narrow down the scene to the most climactic pictorial elaborations. When seen together they </w:t>
      </w:r>
      <w:r w:rsidRPr="00F678CA">
        <w:rPr>
          <w:rFonts w:ascii="Georgia" w:hAnsi="Georgia" w:cs="Times New Roman"/>
          <w:sz w:val="24"/>
          <w:szCs w:val="24"/>
        </w:rPr>
        <w:lastRenderedPageBreak/>
        <w:t xml:space="preserve">elevate the scene’s intensity and prepare the reader for the following scene with anticipation. The first illustration in this collection depicts the “crafty madness” (III.i.8) of Hamlet but in Craig’s own innovative style. He interprets Hamlet’s lunacy as a shadowy androgynous </w:t>
      </w:r>
      <w:r w:rsidRPr="00F678CA">
        <w:rPr>
          <w:rFonts w:ascii="Georgia" w:hAnsi="Georgia" w:cs="Times New Roman"/>
          <w:i/>
          <w:sz w:val="24"/>
          <w:szCs w:val="24"/>
        </w:rPr>
        <w:t>Daemon</w:t>
      </w:r>
      <w:r w:rsidRPr="00F678CA">
        <w:rPr>
          <w:rFonts w:ascii="Georgia" w:hAnsi="Georgia" w:cs="Times New Roman"/>
          <w:sz w:val="24"/>
          <w:szCs w:val="24"/>
        </w:rPr>
        <w:t xml:space="preserve"> that whispers into the ears of Hamlet. The idea was conceptualized quite early in his career and he had used it in the Moscow production as well. The shadowy figure is both an extension of Hamlet’s physical self as well as his turbid mind (Taylor). Craig also did visualize the ghost as “as two beings—the first a skeletal representation of Hamlet’s murdered father in Act 1—and the second an androgynous Daemon or alter ego, who entices the prince towards death later in the play” (“Hamlet and Daemon”).  The ghost in Shakespeare, and in </w:t>
      </w:r>
      <w:r w:rsidRPr="00F678CA">
        <w:rPr>
          <w:rFonts w:ascii="Georgia" w:hAnsi="Georgia" w:cs="Times New Roman"/>
          <w:i/>
          <w:sz w:val="24"/>
          <w:szCs w:val="24"/>
        </w:rPr>
        <w:t>Hamlet</w:t>
      </w:r>
      <w:r w:rsidRPr="00F678CA">
        <w:rPr>
          <w:rFonts w:ascii="Georgia" w:hAnsi="Georgia" w:cs="Times New Roman"/>
          <w:sz w:val="24"/>
          <w:szCs w:val="24"/>
        </w:rPr>
        <w:t xml:space="preserve"> especially, intrigued him: </w:t>
      </w:r>
    </w:p>
    <w:p w:rsidR="00F678CA" w:rsidRPr="00F678CA" w:rsidRDefault="00F678CA" w:rsidP="008E1AAC">
      <w:pPr>
        <w:widowControl w:val="0"/>
        <w:autoSpaceDE w:val="0"/>
        <w:autoSpaceDN w:val="0"/>
        <w:adjustRightInd w:val="0"/>
        <w:spacing w:line="276" w:lineRule="auto"/>
        <w:ind w:left="1440"/>
        <w:contextualSpacing/>
        <w:rPr>
          <w:rFonts w:ascii="Georgia" w:hAnsi="Georgia" w:cs="Times New Roman"/>
          <w:sz w:val="24"/>
          <w:szCs w:val="24"/>
        </w:rPr>
      </w:pPr>
      <w:r w:rsidRPr="00F678CA">
        <w:rPr>
          <w:rFonts w:ascii="Georgia" w:hAnsi="Georgia" w:cs="Times New Roman"/>
          <w:sz w:val="24"/>
          <w:szCs w:val="24"/>
        </w:rPr>
        <w:t xml:space="preserve">… for that ghost … who moves aside the veils at the beginning of the great play, is not a joke; he is not a theatrical gentleman in armour, [nor is he] a farce of a figure. He is a momentary visualization of the unseen forces which dominate the action and is a clear command from Shakespeare that the men of the theatre shall rouse their imagination and let their reasonable logic slumber. (Craig, </w:t>
      </w:r>
      <w:r w:rsidRPr="00F678CA">
        <w:rPr>
          <w:rFonts w:ascii="Georgia" w:hAnsi="Georgia" w:cs="Times New Roman"/>
          <w:iCs/>
          <w:sz w:val="24"/>
          <w:szCs w:val="24"/>
        </w:rPr>
        <w:t>1911;</w:t>
      </w:r>
      <w:r w:rsidRPr="00F678CA">
        <w:rPr>
          <w:rFonts w:ascii="Georgia" w:hAnsi="Georgia" w:cs="Times New Roman"/>
          <w:sz w:val="24"/>
          <w:szCs w:val="24"/>
        </w:rPr>
        <w:t>265–66).</w:t>
      </w:r>
    </w:p>
    <w:p w:rsidR="00F678CA" w:rsidRPr="00F678CA" w:rsidRDefault="00F678CA" w:rsidP="008E1AAC">
      <w:pPr>
        <w:widowControl w:val="0"/>
        <w:autoSpaceDE w:val="0"/>
        <w:autoSpaceDN w:val="0"/>
        <w:adjustRightInd w:val="0"/>
        <w:spacing w:line="276" w:lineRule="auto"/>
        <w:contextualSpacing/>
        <w:jc w:val="center"/>
        <w:rPr>
          <w:rFonts w:ascii="Georgia" w:hAnsi="Georgia" w:cs="Times New Roman"/>
          <w:sz w:val="24"/>
          <w:szCs w:val="24"/>
        </w:rPr>
      </w:pPr>
      <w:r w:rsidRPr="00F678CA">
        <w:rPr>
          <w:rFonts w:ascii="Georgia" w:hAnsi="Georgia" w:cs="Times New Roman"/>
          <w:sz w:val="24"/>
          <w:szCs w:val="24"/>
          <w:lang w:val="en-IN"/>
        </w:rPr>
        <w:drawing>
          <wp:inline distT="0" distB="0" distL="0" distR="0">
            <wp:extent cx="1760220" cy="2785136"/>
            <wp:effectExtent l="0" t="0" r="0" b="0"/>
            <wp:docPr id="10" name="Picture 4" descr="hb_24.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b_24.65.2.jpg"/>
                    <pic:cNvPicPr/>
                  </pic:nvPicPr>
                  <pic:blipFill>
                    <a:blip r:embed="rId20" cstate="print"/>
                    <a:stretch>
                      <a:fillRect/>
                    </a:stretch>
                  </pic:blipFill>
                  <pic:spPr>
                    <a:xfrm>
                      <a:off x="0" y="0"/>
                      <a:ext cx="1775764" cy="2809731"/>
                    </a:xfrm>
                    <a:prstGeom prst="rect">
                      <a:avLst/>
                    </a:prstGeom>
                  </pic:spPr>
                </pic:pic>
              </a:graphicData>
            </a:graphic>
          </wp:inline>
        </w:drawing>
      </w:r>
    </w:p>
    <w:p w:rsidR="00F678CA" w:rsidRPr="00F678CA" w:rsidRDefault="00F678CA" w:rsidP="008E1AAC">
      <w:pPr>
        <w:widowControl w:val="0"/>
        <w:autoSpaceDE w:val="0"/>
        <w:autoSpaceDN w:val="0"/>
        <w:adjustRightInd w:val="0"/>
        <w:spacing w:line="276" w:lineRule="auto"/>
        <w:contextualSpacing/>
        <w:jc w:val="center"/>
        <w:rPr>
          <w:rFonts w:ascii="Georgia" w:hAnsi="Georgia" w:cs="Times New Roman"/>
          <w:sz w:val="24"/>
          <w:szCs w:val="24"/>
        </w:rPr>
      </w:pPr>
      <w:r w:rsidRPr="00F678CA">
        <w:rPr>
          <w:rFonts w:ascii="Georgia" w:hAnsi="Georgia" w:cs="Times New Roman"/>
          <w:sz w:val="24"/>
          <w:szCs w:val="24"/>
        </w:rPr>
        <w:t>Figure 5.</w:t>
      </w:r>
    </w:p>
    <w:p w:rsidR="00F678CA" w:rsidRPr="00F678CA" w:rsidRDefault="00F678CA" w:rsidP="008E1AAC">
      <w:pPr>
        <w:widowControl w:val="0"/>
        <w:autoSpaceDE w:val="0"/>
        <w:autoSpaceDN w:val="0"/>
        <w:adjustRightInd w:val="0"/>
        <w:spacing w:line="276" w:lineRule="auto"/>
        <w:ind w:firstLine="720"/>
        <w:contextualSpacing/>
        <w:rPr>
          <w:rFonts w:ascii="Georgia" w:hAnsi="Georgia" w:cs="Times New Roman"/>
          <w:sz w:val="24"/>
          <w:szCs w:val="24"/>
        </w:rPr>
      </w:pPr>
      <w:r w:rsidRPr="00F678CA">
        <w:rPr>
          <w:rFonts w:ascii="Georgia" w:hAnsi="Georgia" w:cs="Times New Roman"/>
          <w:sz w:val="24"/>
          <w:szCs w:val="24"/>
        </w:rPr>
        <w:t xml:space="preserve">Rest of the following designs illustrate “To be, or not to be” (III.i.55). One of them carefully position Hamlet on turbulent waves suggesting his dilemma and confusion and a sense of futility; he is slightly bent backwards with his hands raised to his chest (Figure 6), as if contemplative. The waves are taken from a phrase in the speech, “a sea of troubles” (III.i.58). </w:t>
      </w:r>
    </w:p>
    <w:p w:rsidR="00F678CA" w:rsidRPr="00F678CA" w:rsidRDefault="00F678CA" w:rsidP="008E1AAC">
      <w:pPr>
        <w:widowControl w:val="0"/>
        <w:autoSpaceDE w:val="0"/>
        <w:autoSpaceDN w:val="0"/>
        <w:adjustRightInd w:val="0"/>
        <w:spacing w:line="276" w:lineRule="auto"/>
        <w:contextualSpacing/>
        <w:jc w:val="center"/>
        <w:rPr>
          <w:rFonts w:ascii="Georgia" w:hAnsi="Georgia" w:cs="Times New Roman"/>
          <w:sz w:val="24"/>
          <w:szCs w:val="24"/>
        </w:rPr>
      </w:pPr>
      <w:r w:rsidRPr="00F678CA">
        <w:rPr>
          <w:rFonts w:ascii="Georgia" w:hAnsi="Georgia" w:cs="Times New Roman"/>
          <w:sz w:val="24"/>
          <w:szCs w:val="24"/>
          <w:lang w:val="en-IN"/>
        </w:rPr>
        <w:lastRenderedPageBreak/>
        <w:drawing>
          <wp:inline distT="0" distB="0" distL="0" distR="0">
            <wp:extent cx="3851084" cy="1682093"/>
            <wp:effectExtent l="0" t="0" r="0" b="0"/>
            <wp:docPr id="12" name="Picture 7" descr="download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5).png"/>
                    <pic:cNvPicPr/>
                  </pic:nvPicPr>
                  <pic:blipFill>
                    <a:blip r:embed="rId21" cstate="print"/>
                    <a:stretch>
                      <a:fillRect/>
                    </a:stretch>
                  </pic:blipFill>
                  <pic:spPr>
                    <a:xfrm>
                      <a:off x="0" y="0"/>
                      <a:ext cx="3851084" cy="1682093"/>
                    </a:xfrm>
                    <a:prstGeom prst="rect">
                      <a:avLst/>
                    </a:prstGeom>
                  </pic:spPr>
                </pic:pic>
              </a:graphicData>
            </a:graphic>
          </wp:inline>
        </w:drawing>
      </w:r>
    </w:p>
    <w:p w:rsidR="00F678CA" w:rsidRPr="00F678CA" w:rsidRDefault="00F678CA" w:rsidP="008E1AAC">
      <w:pPr>
        <w:widowControl w:val="0"/>
        <w:autoSpaceDE w:val="0"/>
        <w:autoSpaceDN w:val="0"/>
        <w:adjustRightInd w:val="0"/>
        <w:spacing w:line="276" w:lineRule="auto"/>
        <w:contextualSpacing/>
        <w:jc w:val="center"/>
        <w:rPr>
          <w:rFonts w:ascii="Georgia" w:hAnsi="Georgia" w:cs="Times New Roman"/>
          <w:sz w:val="24"/>
          <w:szCs w:val="24"/>
        </w:rPr>
      </w:pPr>
      <w:r w:rsidRPr="00F678CA">
        <w:rPr>
          <w:rFonts w:ascii="Georgia" w:hAnsi="Georgia" w:cs="Times New Roman"/>
          <w:sz w:val="24"/>
          <w:szCs w:val="24"/>
        </w:rPr>
        <w:t>Figure 6.</w:t>
      </w:r>
    </w:p>
    <w:p w:rsidR="00F678CA" w:rsidRP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t>Craig suggestively arranges the mysterious and playful pantomime characters on a podium of red texts (Figure 7) to convey a sense of striking theatricality and takes the reader in as audience in another illustration which sums up scene two of the same act. From Hamlet’s advice to the theatre actors—to the fleeing of Claudius (Figure 8) Craig’s design engage each powerful moment in boxed and independent structures evoking movement and drama:</w:t>
      </w:r>
    </w:p>
    <w:p w:rsidR="00F678CA" w:rsidRPr="00F678CA" w:rsidRDefault="00F678CA" w:rsidP="008E1AAC">
      <w:pPr>
        <w:widowControl w:val="0"/>
        <w:autoSpaceDE w:val="0"/>
        <w:autoSpaceDN w:val="0"/>
        <w:adjustRightInd w:val="0"/>
        <w:spacing w:line="276" w:lineRule="auto"/>
        <w:contextualSpacing/>
        <w:jc w:val="center"/>
        <w:rPr>
          <w:rFonts w:ascii="Georgia" w:hAnsi="Georgia" w:cs="Times New Roman"/>
          <w:sz w:val="24"/>
          <w:szCs w:val="24"/>
        </w:rPr>
      </w:pPr>
      <w:r w:rsidRPr="00F678CA">
        <w:rPr>
          <w:rFonts w:ascii="Georgia" w:hAnsi="Georgia" w:cs="Times New Roman"/>
          <w:sz w:val="24"/>
          <w:szCs w:val="24"/>
          <w:lang w:val="en-IN"/>
        </w:rPr>
        <w:drawing>
          <wp:inline distT="0" distB="0" distL="0" distR="0">
            <wp:extent cx="3982720" cy="1859280"/>
            <wp:effectExtent l="0" t="0" r="0" b="0"/>
            <wp:docPr id="13" name="Picture 13" descr="download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9).png"/>
                    <pic:cNvPicPr/>
                  </pic:nvPicPr>
                  <pic:blipFill>
                    <a:blip r:embed="rId22" cstate="print"/>
                    <a:stretch>
                      <a:fillRect/>
                    </a:stretch>
                  </pic:blipFill>
                  <pic:spPr>
                    <a:xfrm>
                      <a:off x="0" y="0"/>
                      <a:ext cx="4016374" cy="1874991"/>
                    </a:xfrm>
                    <a:prstGeom prst="rect">
                      <a:avLst/>
                    </a:prstGeom>
                  </pic:spPr>
                </pic:pic>
              </a:graphicData>
            </a:graphic>
          </wp:inline>
        </w:drawing>
      </w:r>
    </w:p>
    <w:p w:rsidR="00F678CA" w:rsidRPr="00F678CA" w:rsidRDefault="00F678CA" w:rsidP="008E1AAC">
      <w:pPr>
        <w:widowControl w:val="0"/>
        <w:autoSpaceDE w:val="0"/>
        <w:autoSpaceDN w:val="0"/>
        <w:adjustRightInd w:val="0"/>
        <w:spacing w:line="276" w:lineRule="auto"/>
        <w:contextualSpacing/>
        <w:jc w:val="center"/>
        <w:rPr>
          <w:rFonts w:ascii="Georgia" w:hAnsi="Georgia" w:cs="Times New Roman"/>
          <w:sz w:val="24"/>
          <w:szCs w:val="24"/>
        </w:rPr>
      </w:pPr>
      <w:r w:rsidRPr="00F678CA">
        <w:rPr>
          <w:rFonts w:ascii="Georgia" w:hAnsi="Georgia" w:cs="Times New Roman"/>
          <w:sz w:val="24"/>
          <w:szCs w:val="24"/>
        </w:rPr>
        <w:t>Figure 7.</w:t>
      </w:r>
    </w:p>
    <w:p w:rsidR="00F678CA" w:rsidRPr="00F678CA" w:rsidRDefault="00F678CA" w:rsidP="008E1AAC">
      <w:pPr>
        <w:widowControl w:val="0"/>
        <w:autoSpaceDE w:val="0"/>
        <w:autoSpaceDN w:val="0"/>
        <w:adjustRightInd w:val="0"/>
        <w:spacing w:line="276" w:lineRule="auto"/>
        <w:contextualSpacing/>
        <w:jc w:val="center"/>
        <w:rPr>
          <w:rFonts w:ascii="Georgia" w:hAnsi="Georgia" w:cs="Times New Roman"/>
          <w:sz w:val="24"/>
          <w:szCs w:val="24"/>
        </w:rPr>
      </w:pPr>
      <w:r w:rsidRPr="00F678CA">
        <w:rPr>
          <w:rFonts w:ascii="Georgia" w:hAnsi="Georgia" w:cs="Times New Roman"/>
          <w:sz w:val="24"/>
          <w:szCs w:val="24"/>
          <w:lang w:val="en-IN"/>
        </w:rPr>
        <w:drawing>
          <wp:inline distT="0" distB="0" distL="0" distR="0">
            <wp:extent cx="3840133" cy="1638300"/>
            <wp:effectExtent l="0" t="0" r="0" b="0"/>
            <wp:docPr id="15" name="Picture 10" descr="download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7).png"/>
                    <pic:cNvPicPr/>
                  </pic:nvPicPr>
                  <pic:blipFill>
                    <a:blip r:embed="rId23" cstate="print"/>
                    <a:stretch>
                      <a:fillRect/>
                    </a:stretch>
                  </pic:blipFill>
                  <pic:spPr>
                    <a:xfrm>
                      <a:off x="0" y="0"/>
                      <a:ext cx="3900413" cy="1664017"/>
                    </a:xfrm>
                    <a:prstGeom prst="rect">
                      <a:avLst/>
                    </a:prstGeom>
                  </pic:spPr>
                </pic:pic>
              </a:graphicData>
            </a:graphic>
          </wp:inline>
        </w:drawing>
      </w:r>
    </w:p>
    <w:p w:rsidR="00F678CA" w:rsidRPr="00F678CA" w:rsidRDefault="00F678CA" w:rsidP="008E1AAC">
      <w:pPr>
        <w:widowControl w:val="0"/>
        <w:autoSpaceDE w:val="0"/>
        <w:autoSpaceDN w:val="0"/>
        <w:adjustRightInd w:val="0"/>
        <w:spacing w:line="276" w:lineRule="auto"/>
        <w:contextualSpacing/>
        <w:jc w:val="center"/>
        <w:rPr>
          <w:rFonts w:ascii="Georgia" w:hAnsi="Georgia" w:cs="Times New Roman"/>
          <w:sz w:val="24"/>
          <w:szCs w:val="24"/>
        </w:rPr>
      </w:pPr>
      <w:r w:rsidRPr="00F678CA">
        <w:rPr>
          <w:rFonts w:ascii="Georgia" w:hAnsi="Georgia" w:cs="Times New Roman"/>
          <w:sz w:val="24"/>
          <w:szCs w:val="24"/>
        </w:rPr>
        <w:t>Figure 8.</w:t>
      </w:r>
    </w:p>
    <w:p w:rsidR="00F678CA" w:rsidRP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lastRenderedPageBreak/>
        <w:t>The last illustration is the re-enactment of the play-within a play that Hamlet directs to “catch the conscience of the King” (III.i.540). The scene shows the flight of guilt-ridden Claudius at the end of the enactment. The depiction is strikingly animate. Unlike the stoicism of the Court scene (I.i), this scene is full of dynamism. Craig uses the technique of double-printing to emphasize on the central figures of Hamlet and Claudius, the same technique used in the Court scene.</w:t>
      </w:r>
    </w:p>
    <w:p w:rsidR="00F678CA" w:rsidRPr="00F678CA" w:rsidRDefault="00F678CA" w:rsidP="006B5ADE">
      <w:pPr>
        <w:widowControl w:val="0"/>
        <w:autoSpaceDE w:val="0"/>
        <w:autoSpaceDN w:val="0"/>
        <w:adjustRightInd w:val="0"/>
        <w:spacing w:line="276" w:lineRule="auto"/>
        <w:ind w:firstLine="720"/>
        <w:contextualSpacing/>
        <w:rPr>
          <w:rFonts w:ascii="Georgia" w:hAnsi="Georgia" w:cs="Times New Roman"/>
          <w:sz w:val="24"/>
          <w:szCs w:val="24"/>
        </w:rPr>
      </w:pPr>
      <w:r w:rsidRPr="00F678CA">
        <w:rPr>
          <w:rFonts w:ascii="Georgia" w:hAnsi="Georgia" w:cs="Times New Roman"/>
          <w:sz w:val="24"/>
          <w:szCs w:val="24"/>
        </w:rPr>
        <w:t xml:space="preserve">Perhaps the most beautiful and the most poetically enigmatic image is the one that shows Ophelia’s complete detachment from the outside world (Figure 9) in Act IV scene V. </w:t>
      </w:r>
    </w:p>
    <w:p w:rsidR="00F678CA" w:rsidRPr="00F678CA" w:rsidRDefault="00F678CA" w:rsidP="008E1AAC">
      <w:pPr>
        <w:widowControl w:val="0"/>
        <w:autoSpaceDE w:val="0"/>
        <w:autoSpaceDN w:val="0"/>
        <w:adjustRightInd w:val="0"/>
        <w:spacing w:line="276" w:lineRule="auto"/>
        <w:contextualSpacing/>
        <w:jc w:val="center"/>
        <w:rPr>
          <w:rFonts w:ascii="Georgia" w:hAnsi="Georgia" w:cs="Times New Roman"/>
          <w:sz w:val="24"/>
          <w:szCs w:val="24"/>
        </w:rPr>
      </w:pPr>
      <w:r w:rsidRPr="00F678CA">
        <w:rPr>
          <w:rFonts w:ascii="Georgia" w:hAnsi="Georgia" w:cs="Times New Roman"/>
          <w:sz w:val="24"/>
          <w:szCs w:val="24"/>
          <w:lang w:val="en-IN"/>
        </w:rPr>
        <w:drawing>
          <wp:inline distT="0" distB="0" distL="0" distR="0">
            <wp:extent cx="3775020" cy="1610520"/>
            <wp:effectExtent l="0" t="0" r="0" b="0"/>
            <wp:docPr id="18" name="Picture 16" descr="download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10).png"/>
                    <pic:cNvPicPr/>
                  </pic:nvPicPr>
                  <pic:blipFill>
                    <a:blip r:embed="rId24" cstate="print"/>
                    <a:stretch>
                      <a:fillRect/>
                    </a:stretch>
                  </pic:blipFill>
                  <pic:spPr>
                    <a:xfrm>
                      <a:off x="0" y="0"/>
                      <a:ext cx="3813703" cy="1627023"/>
                    </a:xfrm>
                    <a:prstGeom prst="rect">
                      <a:avLst/>
                    </a:prstGeom>
                  </pic:spPr>
                </pic:pic>
              </a:graphicData>
            </a:graphic>
          </wp:inline>
        </w:drawing>
      </w:r>
    </w:p>
    <w:p w:rsidR="00F678CA" w:rsidRPr="00F678CA" w:rsidRDefault="00F678CA" w:rsidP="008E1AAC">
      <w:pPr>
        <w:widowControl w:val="0"/>
        <w:autoSpaceDE w:val="0"/>
        <w:autoSpaceDN w:val="0"/>
        <w:adjustRightInd w:val="0"/>
        <w:spacing w:line="276" w:lineRule="auto"/>
        <w:contextualSpacing/>
        <w:jc w:val="center"/>
        <w:rPr>
          <w:rFonts w:ascii="Georgia" w:hAnsi="Georgia" w:cs="Times New Roman"/>
          <w:sz w:val="24"/>
          <w:szCs w:val="24"/>
        </w:rPr>
      </w:pPr>
      <w:r w:rsidRPr="00F678CA">
        <w:rPr>
          <w:rFonts w:ascii="Georgia" w:hAnsi="Georgia" w:cs="Times New Roman"/>
          <w:sz w:val="24"/>
          <w:szCs w:val="24"/>
        </w:rPr>
        <w:t>Figure 9.</w:t>
      </w:r>
    </w:p>
    <w:p w:rsidR="00F678CA" w:rsidRP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t xml:space="preserve">Blocked in two columns Ophelia stands alone with her head bent low in grief while the outside tries to enter. The grand blue window and her white silhouette suggest her gradually vanishing state. The walls that barricade her are more psychological in this picture than actual.  Her singular presence is with her diminutive self is how Craig visualized her loneliness and exclusion. </w:t>
      </w:r>
    </w:p>
    <w:p w:rsidR="00F678CA" w:rsidRPr="00F678CA" w:rsidRDefault="00F678CA" w:rsidP="006B5ADE">
      <w:pPr>
        <w:widowControl w:val="0"/>
        <w:autoSpaceDE w:val="0"/>
        <w:autoSpaceDN w:val="0"/>
        <w:adjustRightInd w:val="0"/>
        <w:spacing w:line="276" w:lineRule="auto"/>
        <w:ind w:firstLine="720"/>
        <w:contextualSpacing/>
        <w:rPr>
          <w:rFonts w:ascii="Georgia" w:hAnsi="Georgia" w:cs="Times New Roman"/>
          <w:sz w:val="24"/>
          <w:szCs w:val="24"/>
        </w:rPr>
      </w:pPr>
      <w:r w:rsidRPr="00F678CA">
        <w:rPr>
          <w:rFonts w:ascii="Georgia" w:hAnsi="Georgia" w:cs="Times New Roman"/>
          <w:sz w:val="24"/>
          <w:szCs w:val="24"/>
        </w:rPr>
        <w:t xml:space="preserve">Craig’s pictorially fascinating and potentially interactive images, backed by old style Gothic typeface by Edward Johnston and Kessler’s vision together fostered an unique production in the history of book-printing as well as Shakespeare’s graphic adaptation. It is appropriate to quote the famous Shakespeare critic, scholar and teacher Marjorie Garber in this context, </w:t>
      </w:r>
    </w:p>
    <w:p w:rsidR="00F678CA" w:rsidRPr="00F678CA" w:rsidRDefault="00F678CA" w:rsidP="006B5ADE">
      <w:pPr>
        <w:widowControl w:val="0"/>
        <w:autoSpaceDE w:val="0"/>
        <w:autoSpaceDN w:val="0"/>
        <w:adjustRightInd w:val="0"/>
        <w:spacing w:line="276" w:lineRule="auto"/>
        <w:ind w:left="1440"/>
        <w:contextualSpacing/>
        <w:rPr>
          <w:rFonts w:ascii="Georgia" w:hAnsi="Georgia" w:cs="Times New Roman"/>
          <w:sz w:val="24"/>
          <w:szCs w:val="24"/>
        </w:rPr>
      </w:pPr>
      <w:r w:rsidRPr="00F678CA">
        <w:rPr>
          <w:rFonts w:ascii="Georgia" w:hAnsi="Georgia" w:cs="Times New Roman"/>
          <w:sz w:val="24"/>
          <w:szCs w:val="24"/>
        </w:rPr>
        <w:t xml:space="preserve">But I did think that very little, perhaps nothing, connected to </w:t>
      </w:r>
      <w:r w:rsidRPr="00F678CA">
        <w:rPr>
          <w:rFonts w:ascii="Georgia" w:hAnsi="Georgia" w:cs="Times New Roman"/>
          <w:i/>
          <w:iCs/>
          <w:sz w:val="24"/>
          <w:szCs w:val="24"/>
        </w:rPr>
        <w:t xml:space="preserve">Hamlet </w:t>
      </w:r>
      <w:r w:rsidRPr="00F678CA">
        <w:rPr>
          <w:rFonts w:ascii="Georgia" w:hAnsi="Georgia" w:cs="Times New Roman"/>
          <w:sz w:val="24"/>
          <w:szCs w:val="24"/>
        </w:rPr>
        <w:t xml:space="preserve">could surprise me any longer—or obsess me. I’d seen it all, I thought, until I saw the Cranach </w:t>
      </w:r>
      <w:r w:rsidRPr="00F678CA">
        <w:rPr>
          <w:rFonts w:ascii="Georgia" w:hAnsi="Georgia" w:cs="Times New Roman"/>
          <w:i/>
          <w:iCs/>
          <w:sz w:val="24"/>
          <w:szCs w:val="24"/>
        </w:rPr>
        <w:t>Hamlet</w:t>
      </w:r>
      <w:r w:rsidRPr="00F678CA">
        <w:rPr>
          <w:rFonts w:ascii="Georgia" w:hAnsi="Georgia" w:cs="Times New Roman"/>
          <w:sz w:val="24"/>
          <w:szCs w:val="24"/>
        </w:rPr>
        <w:t>….</w:t>
      </w:r>
    </w:p>
    <w:p w:rsidR="00F678CA" w:rsidRPr="00F678CA" w:rsidRDefault="00F678CA" w:rsidP="006B5ADE">
      <w:pPr>
        <w:widowControl w:val="0"/>
        <w:autoSpaceDE w:val="0"/>
        <w:autoSpaceDN w:val="0"/>
        <w:adjustRightInd w:val="0"/>
        <w:spacing w:line="276" w:lineRule="auto"/>
        <w:ind w:left="1440"/>
        <w:contextualSpacing/>
        <w:rPr>
          <w:rFonts w:ascii="Georgia" w:hAnsi="Georgia" w:cs="Times New Roman"/>
          <w:sz w:val="24"/>
          <w:szCs w:val="24"/>
        </w:rPr>
      </w:pPr>
      <w:r w:rsidRPr="00F678CA">
        <w:rPr>
          <w:rFonts w:ascii="Georgia" w:hAnsi="Georgia" w:cs="Times New Roman"/>
          <w:sz w:val="24"/>
          <w:szCs w:val="24"/>
        </w:rPr>
        <w:t xml:space="preserve">When I saw the book, I was enraptured. There is perhaps no other word for it. I turned the pages, slowly, and read through the text. I stared—covetously, it must be said—at the illustrations, sublime and witty woodcuts by Craig, some droll, some pointed, all of them compelling ‘‘readings’’ of Shakespeare’s play at the same time that they were stand-alone images of clean lines and surpassing beauty. I touched the handmade paper. I looked at the type and the typeface. I read through Dover Wilson’s textual notes at the end of the play. I was hooked. I couldn’t, in fact, bear </w:t>
      </w:r>
      <w:r w:rsidRPr="00F678CA">
        <w:rPr>
          <w:rFonts w:ascii="Georgia" w:hAnsi="Georgia" w:cs="Times New Roman"/>
          <w:sz w:val="24"/>
          <w:szCs w:val="24"/>
        </w:rPr>
        <w:lastRenderedPageBreak/>
        <w:t>to leave it— ….What was I going to do about this unexpected crush? It was like falling for a movie star, or a rock star. But it was a book. (38)</w:t>
      </w:r>
    </w:p>
    <w:p w:rsidR="00F678CA" w:rsidRPr="00F678CA" w:rsidRDefault="00F678CA" w:rsidP="00F678CA">
      <w:pPr>
        <w:widowControl w:val="0"/>
        <w:autoSpaceDE w:val="0"/>
        <w:autoSpaceDN w:val="0"/>
        <w:adjustRightInd w:val="0"/>
        <w:spacing w:line="276" w:lineRule="auto"/>
        <w:contextualSpacing/>
        <w:rPr>
          <w:rFonts w:ascii="Georgia" w:hAnsi="Georgia" w:cs="Times New Roman"/>
          <w:sz w:val="24"/>
          <w:szCs w:val="24"/>
        </w:rPr>
      </w:pPr>
    </w:p>
    <w:p w:rsidR="00F678CA" w:rsidRPr="00F678CA" w:rsidRDefault="00F678CA" w:rsidP="00F678CA">
      <w:pPr>
        <w:widowControl w:val="0"/>
        <w:autoSpaceDE w:val="0"/>
        <w:autoSpaceDN w:val="0"/>
        <w:adjustRightInd w:val="0"/>
        <w:spacing w:line="276" w:lineRule="auto"/>
        <w:contextualSpacing/>
        <w:rPr>
          <w:rFonts w:ascii="Georgia" w:hAnsi="Georgia" w:cs="Times New Roman"/>
          <w:b/>
          <w:sz w:val="24"/>
          <w:szCs w:val="24"/>
        </w:rPr>
      </w:pPr>
    </w:p>
    <w:p w:rsidR="00F678CA" w:rsidRPr="00F678CA" w:rsidRDefault="00F678CA" w:rsidP="00F678CA">
      <w:pPr>
        <w:widowControl w:val="0"/>
        <w:autoSpaceDE w:val="0"/>
        <w:autoSpaceDN w:val="0"/>
        <w:adjustRightInd w:val="0"/>
        <w:spacing w:line="276" w:lineRule="auto"/>
        <w:contextualSpacing/>
        <w:rPr>
          <w:rFonts w:ascii="Georgia" w:hAnsi="Georgia" w:cs="Times New Roman"/>
          <w:b/>
          <w:sz w:val="24"/>
          <w:szCs w:val="24"/>
        </w:rPr>
      </w:pPr>
    </w:p>
    <w:p w:rsidR="00F678CA" w:rsidRPr="00F678CA" w:rsidRDefault="00F678CA" w:rsidP="00F678CA">
      <w:pPr>
        <w:widowControl w:val="0"/>
        <w:autoSpaceDE w:val="0"/>
        <w:autoSpaceDN w:val="0"/>
        <w:adjustRightInd w:val="0"/>
        <w:spacing w:line="276" w:lineRule="auto"/>
        <w:contextualSpacing/>
        <w:rPr>
          <w:rFonts w:ascii="Georgia" w:hAnsi="Georgia" w:cs="Times New Roman"/>
          <w:b/>
          <w:sz w:val="24"/>
          <w:szCs w:val="24"/>
        </w:rPr>
      </w:pPr>
    </w:p>
    <w:p w:rsidR="00F678CA" w:rsidRPr="00F678CA" w:rsidRDefault="00F678CA" w:rsidP="00F678CA">
      <w:pPr>
        <w:widowControl w:val="0"/>
        <w:autoSpaceDE w:val="0"/>
        <w:autoSpaceDN w:val="0"/>
        <w:adjustRightInd w:val="0"/>
        <w:spacing w:line="276" w:lineRule="auto"/>
        <w:contextualSpacing/>
        <w:rPr>
          <w:rFonts w:ascii="Georgia" w:hAnsi="Georgia" w:cs="Times New Roman"/>
          <w:b/>
          <w:sz w:val="24"/>
          <w:szCs w:val="24"/>
        </w:rPr>
      </w:pPr>
      <w:r w:rsidRPr="00F678CA">
        <w:rPr>
          <w:rFonts w:ascii="Georgia" w:hAnsi="Georgia" w:cs="Times New Roman"/>
          <w:b/>
          <w:sz w:val="24"/>
          <w:szCs w:val="24"/>
        </w:rPr>
        <w:t>Endnote</w:t>
      </w:r>
    </w:p>
    <w:p w:rsidR="00F678CA" w:rsidRP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t xml:space="preserve">1.  The use of the phrase “avant-garde art” in this paper is in a more traditional sense as “the art (or literature) of exception," defined by art critic Vittorio Pica, one of the first Italian observers of the phenomenon, in his book </w:t>
      </w:r>
      <w:r w:rsidRPr="00F678CA">
        <w:rPr>
          <w:rFonts w:ascii="Georgia" w:hAnsi="Georgia" w:cs="Times New Roman"/>
          <w:i/>
          <w:iCs/>
          <w:sz w:val="24"/>
          <w:szCs w:val="24"/>
        </w:rPr>
        <w:t xml:space="preserve">Letteratura d'eccezione </w:t>
      </w:r>
      <w:r w:rsidRPr="00F678CA">
        <w:rPr>
          <w:rFonts w:ascii="Georgia" w:hAnsi="Georgia" w:cs="Times New Roman"/>
          <w:iCs/>
          <w:sz w:val="24"/>
          <w:szCs w:val="24"/>
        </w:rPr>
        <w:t>in</w:t>
      </w:r>
      <w:r w:rsidRPr="00F678CA">
        <w:rPr>
          <w:rFonts w:ascii="Georgia" w:hAnsi="Georgia" w:cs="Times New Roman"/>
          <w:sz w:val="24"/>
          <w:szCs w:val="24"/>
        </w:rPr>
        <w:t xml:space="preserve"> 1898. As a term given to literature and art of dissent this paper intends to focus on the literary and art movements of the early twentieth century that reverberated throughout Europe, namely, the Arts and Crafts Movement (1880- 1920) and the post war Modern intercultural and art movements in Germany that produced prolific literary and artistic output giving rise to the Weimar Culture in and around the 1920s. In the formulation of the theory of the avant- garde, Renato Poggioli states that avant-garde literature of the late eighteenth century and the early twentieth century had a social role: It is a “necessary reaction to the flat, opaque, and prosaic nature of our public speech, where the practical end of quantitative communication spoils the quality of expressive means”…. it is “at once cathartic and therapeutic in respect to the degeneration afflicting common language through conventional habits” (37). Peter Beurger makes a historical study in his book </w:t>
      </w:r>
      <w:r w:rsidRPr="00F678CA">
        <w:rPr>
          <w:rFonts w:ascii="Georgia" w:hAnsi="Georgia" w:cs="Times New Roman"/>
          <w:i/>
          <w:sz w:val="24"/>
          <w:szCs w:val="24"/>
        </w:rPr>
        <w:t xml:space="preserve">The Theory of the Avant-Garde </w:t>
      </w:r>
      <w:r w:rsidRPr="00F678CA">
        <w:rPr>
          <w:rFonts w:ascii="Georgia" w:hAnsi="Georgia" w:cs="Times New Roman"/>
          <w:sz w:val="24"/>
          <w:szCs w:val="24"/>
        </w:rPr>
        <w:t xml:space="preserve">(1984), in which he attempts to contest Poggioli’s understanding that, “avant-garde literature derives from the dichotomy between conventional, cliched language and experimental linguistic forms that dislodge those cliches” (7). He postulates, “The "bourgeois, capitalistic, and technological society" of which Poggioli speaks did not, however, begin with the period of the historical avant-garde during the twenties, and certainly not with the period of postmodernism in the fifties and' sixties” (7). He challenges Poggioli’s formulation stating that, “He (Poggioli) draws a parallel between bourgeois-capitalist society and the commercialization and dequalification of language on the one hand and the "avant-garde's" skepticism toward language on the other. If this parallel is valid, then a critical consciousness provoked by the degeneration of language as it was used in the marketplace must have already existed in the late eighteenth century. If, however, a connection between bourgeois, capitalist society and skepticism toward language can be found in the late eighteenth and in the entire nineteenth century, then it becomes highly questionable whether Poggioli's setting up of linguistic conventionality against the avant-garde can serve as a starting point for a "theory of the avantgarde." For then the term avant-garde would have to be stretched to apply to the late </w:t>
      </w:r>
      <w:r w:rsidRPr="00F678CA">
        <w:rPr>
          <w:rFonts w:ascii="Georgia" w:hAnsi="Georgia" w:cs="Times New Roman"/>
          <w:sz w:val="24"/>
          <w:szCs w:val="24"/>
        </w:rPr>
        <w:lastRenderedPageBreak/>
        <w:t xml:space="preserve">eighteenth century and would become an empty slogan, no longer able to help us distinguish romanticism, symbolism, aestheticism, the avant-garde, and postmodemism from each other” (7). It is for this debate that the paper does not touch upon the theoretical dialectics of “avant-gardism” to evaluate the works of Craig and Cranach Press. </w:t>
      </w:r>
    </w:p>
    <w:p w:rsidR="00F678CA" w:rsidRPr="00F678CA" w:rsidRDefault="00F678CA" w:rsidP="00F678CA">
      <w:pPr>
        <w:widowControl w:val="0"/>
        <w:autoSpaceDE w:val="0"/>
        <w:autoSpaceDN w:val="0"/>
        <w:adjustRightInd w:val="0"/>
        <w:spacing w:line="276" w:lineRule="auto"/>
        <w:contextualSpacing/>
        <w:rPr>
          <w:rFonts w:ascii="Georgia" w:hAnsi="Georgia" w:cs="Times New Roman"/>
          <w:i/>
          <w:sz w:val="24"/>
          <w:szCs w:val="24"/>
        </w:rPr>
      </w:pPr>
      <w:r w:rsidRPr="00F678CA">
        <w:rPr>
          <w:rFonts w:ascii="Georgia" w:hAnsi="Georgia" w:cs="Times New Roman"/>
          <w:sz w:val="24"/>
          <w:szCs w:val="24"/>
        </w:rPr>
        <w:t xml:space="preserve">2. Also refer to Marjorie Garber’s “A Tale of Three </w:t>
      </w:r>
      <w:r w:rsidRPr="00F678CA">
        <w:rPr>
          <w:rFonts w:ascii="Georgia" w:hAnsi="Georgia" w:cs="Times New Roman"/>
          <w:i/>
          <w:iCs/>
          <w:sz w:val="24"/>
          <w:szCs w:val="24"/>
        </w:rPr>
        <w:t>Hamlet</w:t>
      </w:r>
      <w:r w:rsidRPr="00F678CA">
        <w:rPr>
          <w:rFonts w:ascii="Georgia" w:hAnsi="Georgia" w:cs="Times New Roman"/>
          <w:sz w:val="24"/>
          <w:szCs w:val="24"/>
        </w:rPr>
        <w:t xml:space="preserve">s or, Repetition and Revenge” in </w:t>
      </w:r>
      <w:r w:rsidRPr="00F678CA">
        <w:rPr>
          <w:rFonts w:ascii="Georgia" w:hAnsi="Georgia" w:cs="Times New Roman"/>
          <w:i/>
          <w:sz w:val="24"/>
          <w:szCs w:val="24"/>
        </w:rPr>
        <w:t xml:space="preserve">Loaded Words. </w:t>
      </w:r>
      <w:r w:rsidRPr="00F678CA">
        <w:rPr>
          <w:rFonts w:ascii="Georgia" w:hAnsi="Georgia" w:cs="Times New Roman"/>
          <w:sz w:val="24"/>
          <w:szCs w:val="24"/>
        </w:rPr>
        <w:t xml:space="preserve">Fordham University Press, 2012.  It is here that she discusses Craig’s apparent obsession with his mother. Ellen Terry was a reputed Shakespeare actress on stage mostly pairing with Henry Irving at his Lyceum Theatre. She had gained popularity with her performances a Portia in </w:t>
      </w:r>
      <w:r w:rsidRPr="00F678CA">
        <w:rPr>
          <w:rFonts w:ascii="Georgia" w:hAnsi="Georgia" w:cs="Times New Roman"/>
          <w:i/>
          <w:iCs/>
          <w:sz w:val="24"/>
          <w:szCs w:val="24"/>
        </w:rPr>
        <w:t>The Merchant of Venice</w:t>
      </w:r>
      <w:r w:rsidRPr="00F678CA">
        <w:rPr>
          <w:rFonts w:ascii="Georgia" w:hAnsi="Georgia" w:cs="Times New Roman"/>
          <w:sz w:val="24"/>
          <w:szCs w:val="24"/>
        </w:rPr>
        <w:t xml:space="preserve">, Beatrice in </w:t>
      </w:r>
      <w:r w:rsidRPr="00F678CA">
        <w:rPr>
          <w:rFonts w:ascii="Georgia" w:hAnsi="Georgia" w:cs="Times New Roman"/>
          <w:i/>
          <w:iCs/>
          <w:sz w:val="24"/>
          <w:szCs w:val="24"/>
        </w:rPr>
        <w:t>Much Ado about Nothing</w:t>
      </w:r>
      <w:r w:rsidRPr="00F678CA">
        <w:rPr>
          <w:rFonts w:ascii="Georgia" w:hAnsi="Georgia" w:cs="Times New Roman"/>
          <w:sz w:val="24"/>
          <w:szCs w:val="24"/>
        </w:rPr>
        <w:t xml:space="preserve">, Cordelia in </w:t>
      </w:r>
      <w:r w:rsidRPr="00F678CA">
        <w:rPr>
          <w:rFonts w:ascii="Georgia" w:hAnsi="Georgia" w:cs="Times New Roman"/>
          <w:i/>
          <w:iCs/>
          <w:sz w:val="24"/>
          <w:szCs w:val="24"/>
        </w:rPr>
        <w:t>King Lear</w:t>
      </w:r>
      <w:r w:rsidRPr="00F678CA">
        <w:rPr>
          <w:rFonts w:ascii="Georgia" w:hAnsi="Georgia" w:cs="Times New Roman"/>
          <w:iCs/>
          <w:sz w:val="24"/>
          <w:szCs w:val="24"/>
        </w:rPr>
        <w:t xml:space="preserve"> but her reputation rested on her performance as Ophelia to Irving’s Hamlet—“</w:t>
      </w:r>
      <w:r w:rsidRPr="00F678CA">
        <w:rPr>
          <w:rFonts w:ascii="Georgia" w:hAnsi="Georgia" w:cs="Times New Roman"/>
          <w:sz w:val="24"/>
          <w:szCs w:val="24"/>
        </w:rPr>
        <w:t xml:space="preserve">And it was as Ophelia, Hamlet’s beloved—not as Gertrude, Hamlet’s mother—that her son remembered her. Terry’s biographer Nina Auerbach describes Henry Irving as in effect the actress’s other ‘‘husband,’’ and dates the time when she became his ‘‘wife’’ to December 30, 1878, the night of her Lyceum debut and her first performance as Ophelia (9). </w:t>
      </w:r>
    </w:p>
    <w:p w:rsidR="00F678CA" w:rsidRPr="00F678CA" w:rsidRDefault="00F678CA" w:rsidP="00F678CA">
      <w:pPr>
        <w:widowControl w:val="0"/>
        <w:autoSpaceDE w:val="0"/>
        <w:autoSpaceDN w:val="0"/>
        <w:adjustRightInd w:val="0"/>
        <w:spacing w:line="276" w:lineRule="auto"/>
        <w:contextualSpacing/>
        <w:rPr>
          <w:rFonts w:ascii="Georgia" w:hAnsi="Georgia" w:cs="Times New Roman"/>
          <w:sz w:val="24"/>
          <w:szCs w:val="24"/>
        </w:rPr>
      </w:pPr>
    </w:p>
    <w:p w:rsidR="00F678CA" w:rsidRPr="00F678CA" w:rsidRDefault="00F678CA" w:rsidP="00F678CA">
      <w:pPr>
        <w:widowControl w:val="0"/>
        <w:autoSpaceDE w:val="0"/>
        <w:autoSpaceDN w:val="0"/>
        <w:adjustRightInd w:val="0"/>
        <w:spacing w:line="276" w:lineRule="auto"/>
        <w:contextualSpacing/>
        <w:rPr>
          <w:rFonts w:ascii="Georgia" w:hAnsi="Georgia" w:cs="Times New Roman"/>
          <w:b/>
          <w:sz w:val="24"/>
          <w:szCs w:val="24"/>
        </w:rPr>
      </w:pPr>
    </w:p>
    <w:p w:rsidR="00F678CA" w:rsidRPr="00F678CA" w:rsidRDefault="00F678CA" w:rsidP="00B3553D">
      <w:pPr>
        <w:widowControl w:val="0"/>
        <w:autoSpaceDE w:val="0"/>
        <w:autoSpaceDN w:val="0"/>
        <w:adjustRightInd w:val="0"/>
        <w:spacing w:line="276" w:lineRule="auto"/>
        <w:contextualSpacing/>
        <w:rPr>
          <w:rFonts w:ascii="Georgia" w:hAnsi="Georgia" w:cs="Times New Roman"/>
          <w:b/>
          <w:sz w:val="24"/>
          <w:szCs w:val="24"/>
        </w:rPr>
      </w:pPr>
      <w:r w:rsidRPr="00F678CA">
        <w:rPr>
          <w:rFonts w:ascii="Georgia" w:hAnsi="Georgia" w:cs="Times New Roman"/>
          <w:b/>
          <w:sz w:val="24"/>
          <w:szCs w:val="24"/>
        </w:rPr>
        <w:t>List of Illustartions</w:t>
      </w:r>
    </w:p>
    <w:p w:rsidR="00F678CA" w:rsidRPr="00F678CA" w:rsidRDefault="00F678CA" w:rsidP="00B3553D">
      <w:pPr>
        <w:widowControl w:val="0"/>
        <w:autoSpaceDE w:val="0"/>
        <w:autoSpaceDN w:val="0"/>
        <w:adjustRightInd w:val="0"/>
        <w:spacing w:line="276" w:lineRule="auto"/>
        <w:ind w:left="720" w:hanging="720"/>
        <w:contextualSpacing/>
        <w:rPr>
          <w:rFonts w:ascii="Georgia" w:hAnsi="Georgia" w:cs="Times New Roman"/>
          <w:sz w:val="24"/>
          <w:szCs w:val="24"/>
        </w:rPr>
      </w:pPr>
      <w:r w:rsidRPr="00F678CA">
        <w:rPr>
          <w:rFonts w:ascii="Georgia" w:hAnsi="Georgia" w:cs="Times New Roman"/>
          <w:sz w:val="24"/>
          <w:szCs w:val="24"/>
        </w:rPr>
        <w:t xml:space="preserve">Figure 1: </w:t>
      </w:r>
      <w:r w:rsidR="00B3553D">
        <w:rPr>
          <w:rFonts w:ascii="Georgia" w:hAnsi="Georgia" w:cs="Times New Roman"/>
          <w:sz w:val="24"/>
          <w:szCs w:val="24"/>
        </w:rPr>
        <w:tab/>
      </w:r>
      <w:r w:rsidRPr="00F678CA">
        <w:rPr>
          <w:rFonts w:ascii="Georgia" w:hAnsi="Georgia" w:cs="Times New Roman"/>
          <w:sz w:val="24"/>
          <w:szCs w:val="24"/>
        </w:rPr>
        <w:t xml:space="preserve">Craig, Edward Gordon. </w:t>
      </w:r>
      <w:r w:rsidRPr="00F678CA">
        <w:rPr>
          <w:rFonts w:ascii="Georgia" w:hAnsi="Georgia" w:cs="Times New Roman"/>
          <w:i/>
          <w:sz w:val="24"/>
          <w:szCs w:val="24"/>
        </w:rPr>
        <w:t>The Tragedie of Hamlet Prince of Denmarke</w:t>
      </w:r>
      <w:r w:rsidRPr="00F678CA">
        <w:rPr>
          <w:rFonts w:ascii="Georgia" w:hAnsi="Georgia" w:cs="Times New Roman"/>
          <w:sz w:val="24"/>
          <w:szCs w:val="24"/>
        </w:rPr>
        <w:t xml:space="preserve">, ed. John Dover </w:t>
      </w:r>
      <w:r w:rsidR="00B3553D">
        <w:rPr>
          <w:rFonts w:ascii="Georgia" w:hAnsi="Georgia" w:cs="Times New Roman"/>
          <w:sz w:val="24"/>
          <w:szCs w:val="24"/>
        </w:rPr>
        <w:t xml:space="preserve">   </w:t>
      </w:r>
      <w:r w:rsidRPr="00F678CA">
        <w:rPr>
          <w:rFonts w:ascii="Georgia" w:hAnsi="Georgia" w:cs="Times New Roman"/>
          <w:sz w:val="24"/>
          <w:szCs w:val="24"/>
        </w:rPr>
        <w:t xml:space="preserve">Wilson. Cranach Press(1930). The British Library, Shelfmark: C.100.l.16. The Edward Gordon </w:t>
      </w:r>
      <w:r w:rsidR="00B3553D">
        <w:rPr>
          <w:rFonts w:ascii="Georgia" w:hAnsi="Georgia" w:cs="Times New Roman"/>
          <w:sz w:val="24"/>
          <w:szCs w:val="24"/>
        </w:rPr>
        <w:t xml:space="preserve"> </w:t>
      </w:r>
      <w:r w:rsidRPr="00F678CA">
        <w:rPr>
          <w:rFonts w:ascii="Georgia" w:hAnsi="Georgia" w:cs="Times New Roman"/>
          <w:sz w:val="24"/>
          <w:szCs w:val="24"/>
        </w:rPr>
        <w:t xml:space="preserve">Craig Estate. 1930. </w:t>
      </w:r>
      <w:hyperlink r:id="rId25" w:history="1">
        <w:r w:rsidRPr="00F678CA">
          <w:rPr>
            <w:rStyle w:val="Hyperlink"/>
            <w:rFonts w:ascii="Georgia" w:hAnsi="Georgia" w:cs="Times New Roman"/>
            <w:sz w:val="24"/>
            <w:szCs w:val="24"/>
          </w:rPr>
          <w:t>www.bl.uk/collection-items/hamlet-published-by-the-cranach-presse</w:t>
        </w:r>
      </w:hyperlink>
      <w:r w:rsidRPr="00F678CA">
        <w:rPr>
          <w:rFonts w:ascii="Georgia" w:hAnsi="Georgia" w:cs="Times New Roman"/>
          <w:sz w:val="24"/>
          <w:szCs w:val="24"/>
        </w:rPr>
        <w:t>. 15 Jan 2021.</w:t>
      </w:r>
    </w:p>
    <w:p w:rsidR="00F678CA" w:rsidRPr="00F678CA" w:rsidRDefault="00F678CA" w:rsidP="00B3553D">
      <w:pPr>
        <w:widowControl w:val="0"/>
        <w:autoSpaceDE w:val="0"/>
        <w:autoSpaceDN w:val="0"/>
        <w:adjustRightInd w:val="0"/>
        <w:spacing w:line="276" w:lineRule="auto"/>
        <w:ind w:left="720" w:hanging="720"/>
        <w:contextualSpacing/>
        <w:rPr>
          <w:rFonts w:ascii="Georgia" w:hAnsi="Georgia" w:cs="Times New Roman"/>
          <w:sz w:val="24"/>
          <w:szCs w:val="24"/>
        </w:rPr>
      </w:pPr>
      <w:r w:rsidRPr="00F678CA">
        <w:rPr>
          <w:rFonts w:ascii="Georgia" w:hAnsi="Georgia" w:cs="Times New Roman"/>
          <w:sz w:val="24"/>
          <w:szCs w:val="24"/>
        </w:rPr>
        <w:t xml:space="preserve">Figure 2: ---. </w:t>
      </w:r>
      <w:r w:rsidR="00B3553D">
        <w:rPr>
          <w:rFonts w:ascii="Georgia" w:hAnsi="Georgia" w:cs="Times New Roman"/>
          <w:sz w:val="24"/>
          <w:szCs w:val="24"/>
        </w:rPr>
        <w:tab/>
      </w:r>
      <w:r w:rsidRPr="00F678CA">
        <w:rPr>
          <w:rFonts w:ascii="Georgia" w:hAnsi="Georgia" w:cs="Times New Roman"/>
          <w:i/>
          <w:sz w:val="24"/>
          <w:szCs w:val="24"/>
        </w:rPr>
        <w:t>The Tragedie of Hamlet Prince of Denmarke</w:t>
      </w:r>
      <w:r w:rsidRPr="00F678CA">
        <w:rPr>
          <w:rFonts w:ascii="Georgia" w:hAnsi="Georgia" w:cs="Times New Roman"/>
          <w:sz w:val="24"/>
          <w:szCs w:val="24"/>
        </w:rPr>
        <w:t>, ed. John Dover Wilson. Cranach Press (1930). Newberry Digital Exhibitions,  publications.newberry.org/digital_exhibitions/items/show/132. 16 Jan 2021.</w:t>
      </w:r>
    </w:p>
    <w:p w:rsidR="00F678CA" w:rsidRPr="00F678CA" w:rsidRDefault="00F678CA" w:rsidP="00B3553D">
      <w:pPr>
        <w:widowControl w:val="0"/>
        <w:autoSpaceDE w:val="0"/>
        <w:autoSpaceDN w:val="0"/>
        <w:adjustRightInd w:val="0"/>
        <w:spacing w:line="276" w:lineRule="auto"/>
        <w:ind w:left="720" w:hanging="720"/>
        <w:contextualSpacing/>
        <w:rPr>
          <w:rFonts w:ascii="Georgia" w:hAnsi="Georgia" w:cs="Times New Roman"/>
          <w:sz w:val="24"/>
          <w:szCs w:val="24"/>
        </w:rPr>
      </w:pPr>
      <w:r w:rsidRPr="00F678CA">
        <w:rPr>
          <w:rFonts w:ascii="Georgia" w:hAnsi="Georgia" w:cs="Times New Roman"/>
          <w:sz w:val="24"/>
          <w:szCs w:val="24"/>
        </w:rPr>
        <w:t xml:space="preserve">Figure 3: ---. </w:t>
      </w:r>
      <w:r w:rsidR="00B3553D">
        <w:rPr>
          <w:rFonts w:ascii="Georgia" w:hAnsi="Georgia" w:cs="Times New Roman"/>
          <w:sz w:val="24"/>
          <w:szCs w:val="24"/>
        </w:rPr>
        <w:tab/>
      </w:r>
      <w:hyperlink r:id="rId26" w:history="1">
        <w:r w:rsidRPr="00F678CA">
          <w:rPr>
            <w:rStyle w:val="Hyperlink"/>
            <w:rFonts w:ascii="Georgia" w:hAnsi="Georgia" w:cs="Times New Roman"/>
            <w:i/>
            <w:sz w:val="24"/>
            <w:szCs w:val="24"/>
          </w:rPr>
          <w:t>Towards a New Theatre: Forty Designs for Stage Scenes</w:t>
        </w:r>
      </w:hyperlink>
      <w:r w:rsidRPr="00F678CA">
        <w:rPr>
          <w:rFonts w:ascii="Georgia" w:hAnsi="Georgia" w:cs="Times New Roman"/>
          <w:i/>
          <w:sz w:val="24"/>
          <w:szCs w:val="24"/>
        </w:rPr>
        <w:t>.</w:t>
      </w:r>
      <w:r w:rsidRPr="00F678CA">
        <w:rPr>
          <w:rFonts w:ascii="Georgia" w:hAnsi="Georgia" w:cs="Times New Roman"/>
          <w:sz w:val="24"/>
          <w:szCs w:val="24"/>
        </w:rPr>
        <w:t xml:space="preserve"> J.M Dent and Sons, 1913. </w:t>
      </w:r>
      <w:r w:rsidRPr="00F678CA">
        <w:rPr>
          <w:rFonts w:ascii="Georgia" w:hAnsi="Georgia" w:cs="Times New Roman"/>
          <w:bCs/>
          <w:i/>
          <w:sz w:val="24"/>
          <w:szCs w:val="24"/>
        </w:rPr>
        <w:t xml:space="preserve"> From Stage to Page with the Cranach Press's Hamlet. </w:t>
      </w:r>
      <w:r w:rsidRPr="00F678CA">
        <w:rPr>
          <w:rFonts w:ascii="Georgia" w:hAnsi="Georgia" w:cs="Times New Roman"/>
          <w:bCs/>
          <w:sz w:val="24"/>
          <w:szCs w:val="24"/>
        </w:rPr>
        <w:t xml:space="preserve">Meredith Mann. New York Public Library. 2014. </w:t>
      </w:r>
      <w:hyperlink r:id="rId27" w:history="1">
        <w:r w:rsidRPr="00F678CA">
          <w:rPr>
            <w:rStyle w:val="Hyperlink"/>
            <w:rFonts w:ascii="Georgia" w:hAnsi="Georgia" w:cs="Times New Roman"/>
            <w:sz w:val="24"/>
            <w:szCs w:val="24"/>
          </w:rPr>
          <w:t>www.nypl.org/blog/2014/11/14/cranach-press-hamlet</w:t>
        </w:r>
      </w:hyperlink>
      <w:r w:rsidRPr="00F678CA">
        <w:rPr>
          <w:rFonts w:ascii="Georgia" w:hAnsi="Georgia" w:cs="Times New Roman"/>
          <w:sz w:val="24"/>
          <w:szCs w:val="24"/>
        </w:rPr>
        <w:t xml:space="preserve">. 16 Jan 2021. </w:t>
      </w:r>
    </w:p>
    <w:p w:rsidR="00F678CA" w:rsidRPr="00F678CA" w:rsidRDefault="00F678CA" w:rsidP="00B3553D">
      <w:pPr>
        <w:widowControl w:val="0"/>
        <w:autoSpaceDE w:val="0"/>
        <w:autoSpaceDN w:val="0"/>
        <w:adjustRightInd w:val="0"/>
        <w:spacing w:line="276" w:lineRule="auto"/>
        <w:ind w:left="720" w:hanging="720"/>
        <w:contextualSpacing/>
        <w:rPr>
          <w:rFonts w:ascii="Georgia" w:hAnsi="Georgia" w:cs="Times New Roman"/>
          <w:bCs/>
          <w:sz w:val="24"/>
          <w:szCs w:val="24"/>
        </w:rPr>
      </w:pPr>
      <w:r w:rsidRPr="00F678CA">
        <w:rPr>
          <w:rFonts w:ascii="Georgia" w:hAnsi="Georgia" w:cs="Times New Roman"/>
          <w:bCs/>
          <w:sz w:val="24"/>
          <w:szCs w:val="24"/>
        </w:rPr>
        <w:t>Figure 4: ---.</w:t>
      </w:r>
      <w:r w:rsidR="00B3553D">
        <w:rPr>
          <w:rFonts w:ascii="Georgia" w:hAnsi="Georgia" w:cs="Times New Roman"/>
          <w:bCs/>
          <w:sz w:val="24"/>
          <w:szCs w:val="24"/>
        </w:rPr>
        <w:tab/>
      </w:r>
      <w:r w:rsidRPr="00F678CA">
        <w:rPr>
          <w:rFonts w:ascii="Georgia" w:hAnsi="Georgia" w:cs="Times New Roman"/>
          <w:bCs/>
          <w:sz w:val="24"/>
          <w:szCs w:val="24"/>
        </w:rPr>
        <w:t xml:space="preserve"> </w:t>
      </w:r>
      <w:r w:rsidRPr="00F678CA">
        <w:rPr>
          <w:rFonts w:ascii="Georgia" w:hAnsi="Georgia" w:cs="Times New Roman"/>
          <w:bCs/>
          <w:i/>
          <w:sz w:val="24"/>
          <w:szCs w:val="24"/>
        </w:rPr>
        <w:t>TheTragedie of Hamlet Prince of Denmarke</w:t>
      </w:r>
      <w:r w:rsidRPr="00F678CA">
        <w:rPr>
          <w:rFonts w:ascii="Georgia" w:hAnsi="Georgia" w:cs="Times New Roman"/>
          <w:bCs/>
          <w:sz w:val="24"/>
          <w:szCs w:val="24"/>
        </w:rPr>
        <w:t xml:space="preserve">, ed. John Dover Wilson. Cranach Press(1930). </w:t>
      </w:r>
      <w:r w:rsidRPr="00F678CA">
        <w:rPr>
          <w:rFonts w:ascii="Georgia" w:hAnsi="Georgia" w:cs="Times New Roman"/>
          <w:i/>
          <w:sz w:val="24"/>
          <w:szCs w:val="24"/>
        </w:rPr>
        <w:t xml:space="preserve">From Stage to Page with the Cranach Press's Hamlet. </w:t>
      </w:r>
      <w:r w:rsidRPr="00F678CA">
        <w:rPr>
          <w:rFonts w:ascii="Georgia" w:hAnsi="Georgia" w:cs="Times New Roman"/>
          <w:sz w:val="24"/>
          <w:szCs w:val="24"/>
        </w:rPr>
        <w:t xml:space="preserve">Meredith Mann. New York Public Library. 2014. </w:t>
      </w:r>
      <w:hyperlink r:id="rId28" w:history="1">
        <w:r w:rsidRPr="00F678CA">
          <w:rPr>
            <w:rStyle w:val="Hyperlink"/>
            <w:rFonts w:ascii="Georgia" w:hAnsi="Georgia" w:cs="Times New Roman"/>
            <w:bCs/>
            <w:sz w:val="24"/>
            <w:szCs w:val="24"/>
          </w:rPr>
          <w:t>www.nypl.org/blog/2014/11/14/cranach-press-hamlet</w:t>
        </w:r>
      </w:hyperlink>
      <w:r w:rsidRPr="00F678CA">
        <w:rPr>
          <w:rFonts w:ascii="Georgia" w:hAnsi="Georgia" w:cs="Times New Roman"/>
          <w:bCs/>
          <w:sz w:val="24"/>
          <w:szCs w:val="24"/>
        </w:rPr>
        <w:t xml:space="preserve">. 16 Jan 2021. </w:t>
      </w:r>
    </w:p>
    <w:p w:rsidR="00F678CA" w:rsidRPr="00F678CA" w:rsidRDefault="00F678CA" w:rsidP="00B3553D">
      <w:pPr>
        <w:widowControl w:val="0"/>
        <w:autoSpaceDE w:val="0"/>
        <w:autoSpaceDN w:val="0"/>
        <w:adjustRightInd w:val="0"/>
        <w:spacing w:line="276" w:lineRule="auto"/>
        <w:ind w:left="720" w:hanging="720"/>
        <w:contextualSpacing/>
        <w:rPr>
          <w:rFonts w:ascii="Georgia" w:hAnsi="Georgia" w:cs="Times New Roman"/>
          <w:sz w:val="24"/>
          <w:szCs w:val="24"/>
        </w:rPr>
      </w:pPr>
      <w:r w:rsidRPr="00F678CA">
        <w:rPr>
          <w:rFonts w:ascii="Georgia" w:hAnsi="Georgia" w:cs="Times New Roman"/>
          <w:sz w:val="24"/>
          <w:szCs w:val="24"/>
        </w:rPr>
        <w:t xml:space="preserve">Figure 5 : ---. </w:t>
      </w:r>
      <w:r w:rsidR="00B3553D">
        <w:rPr>
          <w:rFonts w:ascii="Georgia" w:hAnsi="Georgia" w:cs="Times New Roman"/>
          <w:sz w:val="24"/>
          <w:szCs w:val="24"/>
        </w:rPr>
        <w:tab/>
      </w:r>
      <w:r w:rsidRPr="00F678CA">
        <w:rPr>
          <w:rFonts w:ascii="Georgia" w:hAnsi="Georgia" w:cs="Times New Roman"/>
          <w:sz w:val="24"/>
          <w:szCs w:val="24"/>
        </w:rPr>
        <w:t xml:space="preserve">“Hamlet and Daemon (Shakespeare’s Hamlet )”. </w:t>
      </w:r>
      <w:r w:rsidRPr="00F678CA">
        <w:rPr>
          <w:rFonts w:ascii="Georgia" w:hAnsi="Georgia" w:cs="Times New Roman"/>
          <w:i/>
          <w:sz w:val="24"/>
          <w:szCs w:val="24"/>
        </w:rPr>
        <w:t>The Cranach Press Hamlet,</w:t>
      </w:r>
      <w:r w:rsidRPr="00F678CA">
        <w:rPr>
          <w:rFonts w:ascii="Georgia" w:hAnsi="Georgia" w:cs="Times New Roman"/>
          <w:sz w:val="24"/>
          <w:szCs w:val="24"/>
        </w:rPr>
        <w:t xml:space="preserve"> 1930. Harris Brisbane Dick Fund, 1924. The Metropolitan Museum of Art.</w:t>
      </w:r>
      <w:hyperlink r:id="rId29" w:history="1">
        <w:r w:rsidRPr="00F678CA">
          <w:rPr>
            <w:rStyle w:val="Hyperlink"/>
            <w:rFonts w:ascii="Georgia" w:hAnsi="Georgia" w:cs="Times New Roman"/>
            <w:sz w:val="24"/>
            <w:szCs w:val="24"/>
          </w:rPr>
          <w:t>www.metmuseum.org/toah/works-of-art/24.65.2/</w:t>
        </w:r>
      </w:hyperlink>
      <w:r w:rsidRPr="00F678CA">
        <w:rPr>
          <w:rFonts w:ascii="Georgia" w:hAnsi="Georgia" w:cs="Times New Roman"/>
          <w:sz w:val="24"/>
          <w:szCs w:val="24"/>
        </w:rPr>
        <w:t xml:space="preserve">. 18 Jan 2021. </w:t>
      </w:r>
    </w:p>
    <w:p w:rsidR="00F678CA" w:rsidRPr="00F678CA" w:rsidRDefault="00F678CA" w:rsidP="00B3553D">
      <w:pPr>
        <w:widowControl w:val="0"/>
        <w:autoSpaceDE w:val="0"/>
        <w:autoSpaceDN w:val="0"/>
        <w:adjustRightInd w:val="0"/>
        <w:spacing w:line="276" w:lineRule="auto"/>
        <w:ind w:left="720" w:hanging="720"/>
        <w:contextualSpacing/>
        <w:rPr>
          <w:rFonts w:ascii="Georgia" w:hAnsi="Georgia" w:cs="Times New Roman"/>
          <w:iCs/>
          <w:sz w:val="24"/>
          <w:szCs w:val="24"/>
        </w:rPr>
      </w:pPr>
      <w:r w:rsidRPr="00F678CA">
        <w:rPr>
          <w:rFonts w:ascii="Georgia" w:hAnsi="Georgia" w:cs="Times New Roman"/>
          <w:sz w:val="24"/>
          <w:szCs w:val="24"/>
        </w:rPr>
        <w:t>Figure 6 : ---.</w:t>
      </w:r>
      <w:r w:rsidR="00B3553D">
        <w:rPr>
          <w:rFonts w:ascii="Georgia" w:hAnsi="Georgia" w:cs="Times New Roman"/>
          <w:sz w:val="24"/>
          <w:szCs w:val="24"/>
        </w:rPr>
        <w:tab/>
      </w:r>
      <w:r w:rsidRPr="00F678CA">
        <w:rPr>
          <w:rFonts w:ascii="Georgia" w:hAnsi="Georgia" w:cs="Times New Roman"/>
          <w:sz w:val="24"/>
          <w:szCs w:val="24"/>
        </w:rPr>
        <w:t xml:space="preserve"> </w:t>
      </w:r>
      <w:r w:rsidRPr="00F678CA">
        <w:rPr>
          <w:rFonts w:ascii="Georgia" w:hAnsi="Georgia" w:cs="Times New Roman"/>
          <w:i/>
          <w:sz w:val="24"/>
          <w:szCs w:val="24"/>
        </w:rPr>
        <w:t>TheTragedie of Hamlet Prince of Denmarke</w:t>
      </w:r>
      <w:r w:rsidRPr="00F678CA">
        <w:rPr>
          <w:rFonts w:ascii="Georgia" w:hAnsi="Georgia" w:cs="Times New Roman"/>
          <w:sz w:val="24"/>
          <w:szCs w:val="24"/>
        </w:rPr>
        <w:t xml:space="preserve">, ed. John Dover Wilson. </w:t>
      </w:r>
      <w:r w:rsidRPr="00F678CA">
        <w:rPr>
          <w:rFonts w:ascii="Georgia" w:hAnsi="Georgia" w:cs="Times New Roman"/>
          <w:i/>
          <w:sz w:val="24"/>
          <w:szCs w:val="24"/>
        </w:rPr>
        <w:t xml:space="preserve">The Cranach </w:t>
      </w:r>
      <w:r w:rsidRPr="00F678CA">
        <w:rPr>
          <w:rFonts w:ascii="Georgia" w:hAnsi="Georgia" w:cs="Times New Roman"/>
          <w:i/>
          <w:sz w:val="24"/>
          <w:szCs w:val="24"/>
        </w:rPr>
        <w:lastRenderedPageBreak/>
        <w:t>Press Hamlet</w:t>
      </w:r>
      <w:r w:rsidRPr="00F678CA">
        <w:rPr>
          <w:rFonts w:ascii="Georgia" w:hAnsi="Georgia" w:cs="Times New Roman"/>
          <w:sz w:val="24"/>
          <w:szCs w:val="24"/>
        </w:rPr>
        <w:t xml:space="preserve">, 1930. Gleeson Library Digital Collections, University of San Francisco. </w:t>
      </w:r>
      <w:r w:rsidRPr="00F678CA">
        <w:rPr>
          <w:rFonts w:ascii="Georgia" w:hAnsi="Georgia" w:cs="Times New Roman"/>
          <w:iCs/>
          <w:sz w:val="24"/>
          <w:szCs w:val="24"/>
        </w:rPr>
        <w:t>digitalcollections.usfca.edu/. 19 Jan 2021.</w:t>
      </w:r>
    </w:p>
    <w:p w:rsidR="00F678CA" w:rsidRPr="00F678CA" w:rsidRDefault="00F678CA" w:rsidP="00B3553D">
      <w:pPr>
        <w:widowControl w:val="0"/>
        <w:autoSpaceDE w:val="0"/>
        <w:autoSpaceDN w:val="0"/>
        <w:adjustRightInd w:val="0"/>
        <w:spacing w:line="276" w:lineRule="auto"/>
        <w:ind w:left="720" w:hanging="720"/>
        <w:contextualSpacing/>
        <w:rPr>
          <w:rFonts w:ascii="Georgia" w:hAnsi="Georgia" w:cs="Times New Roman"/>
          <w:iCs/>
          <w:sz w:val="24"/>
          <w:szCs w:val="24"/>
        </w:rPr>
      </w:pPr>
      <w:r w:rsidRPr="00F678CA">
        <w:rPr>
          <w:rFonts w:ascii="Georgia" w:hAnsi="Georgia" w:cs="Times New Roman"/>
          <w:sz w:val="24"/>
          <w:szCs w:val="24"/>
        </w:rPr>
        <w:t>Figure 7: ---.</w:t>
      </w:r>
      <w:r w:rsidR="00B3553D">
        <w:rPr>
          <w:rFonts w:ascii="Georgia" w:hAnsi="Georgia" w:cs="Times New Roman"/>
          <w:sz w:val="24"/>
          <w:szCs w:val="24"/>
        </w:rPr>
        <w:tab/>
      </w:r>
      <w:r w:rsidRPr="00F678CA">
        <w:rPr>
          <w:rFonts w:ascii="Georgia" w:hAnsi="Georgia" w:cs="Times New Roman"/>
          <w:sz w:val="24"/>
          <w:szCs w:val="24"/>
        </w:rPr>
        <w:t xml:space="preserve"> </w:t>
      </w:r>
      <w:r w:rsidRPr="00F678CA">
        <w:rPr>
          <w:rFonts w:ascii="Georgia" w:hAnsi="Georgia" w:cs="Times New Roman"/>
          <w:i/>
          <w:sz w:val="24"/>
          <w:szCs w:val="24"/>
        </w:rPr>
        <w:t>TheTragedie of Hamlet Prince of Denmarke</w:t>
      </w:r>
      <w:r w:rsidRPr="00F678CA">
        <w:rPr>
          <w:rFonts w:ascii="Georgia" w:hAnsi="Georgia" w:cs="Times New Roman"/>
          <w:sz w:val="24"/>
          <w:szCs w:val="24"/>
        </w:rPr>
        <w:t xml:space="preserve">, ed. John Dover Wilson. Cranach Press (1930). Gleeson Library Digital Collections, University of San Francisco. </w:t>
      </w:r>
      <w:r w:rsidRPr="00F678CA">
        <w:rPr>
          <w:rFonts w:ascii="Georgia" w:hAnsi="Georgia" w:cs="Times New Roman"/>
          <w:iCs/>
          <w:sz w:val="24"/>
          <w:szCs w:val="24"/>
        </w:rPr>
        <w:t>digitalcollections.usfca.edu/. 19 Jan 2021.</w:t>
      </w:r>
    </w:p>
    <w:p w:rsidR="00F678CA" w:rsidRPr="00F678CA" w:rsidRDefault="00F678CA" w:rsidP="00B3553D">
      <w:pPr>
        <w:widowControl w:val="0"/>
        <w:autoSpaceDE w:val="0"/>
        <w:autoSpaceDN w:val="0"/>
        <w:adjustRightInd w:val="0"/>
        <w:spacing w:line="276" w:lineRule="auto"/>
        <w:ind w:left="720" w:hanging="720"/>
        <w:contextualSpacing/>
        <w:rPr>
          <w:rFonts w:ascii="Georgia" w:hAnsi="Georgia" w:cs="Times New Roman"/>
          <w:sz w:val="24"/>
          <w:szCs w:val="24"/>
        </w:rPr>
      </w:pPr>
      <w:r w:rsidRPr="00F678CA">
        <w:rPr>
          <w:rFonts w:ascii="Georgia" w:hAnsi="Georgia" w:cs="Times New Roman"/>
          <w:sz w:val="24"/>
          <w:szCs w:val="24"/>
        </w:rPr>
        <w:t xml:space="preserve">Figure 8: ---. </w:t>
      </w:r>
      <w:r w:rsidR="00B3553D">
        <w:rPr>
          <w:rFonts w:ascii="Georgia" w:hAnsi="Georgia" w:cs="Times New Roman"/>
          <w:sz w:val="24"/>
          <w:szCs w:val="24"/>
        </w:rPr>
        <w:tab/>
      </w:r>
      <w:r w:rsidRPr="00F678CA">
        <w:rPr>
          <w:rFonts w:ascii="Georgia" w:hAnsi="Georgia" w:cs="Times New Roman"/>
          <w:i/>
          <w:sz w:val="24"/>
          <w:szCs w:val="24"/>
        </w:rPr>
        <w:t>The Tragedie of Hamlet Prince of Denmarke</w:t>
      </w:r>
      <w:r w:rsidRPr="00F678CA">
        <w:rPr>
          <w:rFonts w:ascii="Georgia" w:hAnsi="Georgia" w:cs="Times New Roman"/>
          <w:sz w:val="24"/>
          <w:szCs w:val="24"/>
        </w:rPr>
        <w:t>, ed. John Dover Wilson. Cranach Press (1930). Gleeson Library Digital Collections, University of San Francisco. digitalcollections.usfca.edu/. 20 Jan 2021.</w:t>
      </w:r>
    </w:p>
    <w:p w:rsidR="00F678CA" w:rsidRPr="00F678CA" w:rsidRDefault="00F678CA" w:rsidP="00B3553D">
      <w:pPr>
        <w:widowControl w:val="0"/>
        <w:autoSpaceDE w:val="0"/>
        <w:autoSpaceDN w:val="0"/>
        <w:adjustRightInd w:val="0"/>
        <w:spacing w:line="276" w:lineRule="auto"/>
        <w:ind w:left="720" w:hanging="720"/>
        <w:contextualSpacing/>
        <w:rPr>
          <w:rFonts w:ascii="Georgia" w:hAnsi="Georgia" w:cs="Times New Roman"/>
          <w:sz w:val="24"/>
          <w:szCs w:val="24"/>
        </w:rPr>
      </w:pPr>
      <w:r w:rsidRPr="00F678CA">
        <w:rPr>
          <w:rFonts w:ascii="Georgia" w:hAnsi="Georgia" w:cs="Times New Roman"/>
          <w:iCs/>
          <w:sz w:val="24"/>
          <w:szCs w:val="24"/>
        </w:rPr>
        <w:t>Figure 9: ---.</w:t>
      </w:r>
      <w:r w:rsidR="00B3553D">
        <w:rPr>
          <w:rFonts w:ascii="Georgia" w:hAnsi="Georgia" w:cs="Times New Roman"/>
          <w:iCs/>
          <w:sz w:val="24"/>
          <w:szCs w:val="24"/>
        </w:rPr>
        <w:tab/>
      </w:r>
      <w:r w:rsidRPr="00F678CA">
        <w:rPr>
          <w:rFonts w:ascii="Georgia" w:hAnsi="Georgia" w:cs="Times New Roman"/>
          <w:i/>
          <w:sz w:val="24"/>
          <w:szCs w:val="24"/>
        </w:rPr>
        <w:t>The Tragedie of Hamlet Prince of Denmarke</w:t>
      </w:r>
      <w:r w:rsidRPr="00F678CA">
        <w:rPr>
          <w:rFonts w:ascii="Georgia" w:hAnsi="Georgia" w:cs="Times New Roman"/>
          <w:sz w:val="24"/>
          <w:szCs w:val="24"/>
        </w:rPr>
        <w:t>, ed. John Dover Wilson. Cranach Press (1930). Gleeson Library Digital Collections, University of San Francisco. digitalcollections.usfca.edu/. 20 Jan 2021.</w:t>
      </w:r>
    </w:p>
    <w:p w:rsidR="00F678CA" w:rsidRPr="00F678CA" w:rsidRDefault="00F678CA" w:rsidP="00F678CA">
      <w:pPr>
        <w:widowControl w:val="0"/>
        <w:autoSpaceDE w:val="0"/>
        <w:autoSpaceDN w:val="0"/>
        <w:adjustRightInd w:val="0"/>
        <w:spacing w:line="276" w:lineRule="auto"/>
        <w:contextualSpacing/>
        <w:rPr>
          <w:rFonts w:ascii="Georgia" w:hAnsi="Georgia" w:cs="Times New Roman"/>
          <w:iCs/>
          <w:sz w:val="24"/>
          <w:szCs w:val="24"/>
        </w:rPr>
      </w:pPr>
    </w:p>
    <w:p w:rsidR="00F678CA" w:rsidRPr="00F678CA" w:rsidRDefault="00F678CA" w:rsidP="00F678CA">
      <w:pPr>
        <w:widowControl w:val="0"/>
        <w:autoSpaceDE w:val="0"/>
        <w:autoSpaceDN w:val="0"/>
        <w:adjustRightInd w:val="0"/>
        <w:spacing w:line="276" w:lineRule="auto"/>
        <w:contextualSpacing/>
        <w:rPr>
          <w:rFonts w:ascii="Georgia" w:hAnsi="Georgia" w:cs="Times New Roman"/>
          <w:i/>
          <w:iCs/>
          <w:sz w:val="24"/>
          <w:szCs w:val="24"/>
        </w:rPr>
      </w:pPr>
    </w:p>
    <w:p w:rsidR="00F678CA" w:rsidRPr="00F678CA" w:rsidRDefault="00F678CA" w:rsidP="00F678CA">
      <w:pPr>
        <w:widowControl w:val="0"/>
        <w:autoSpaceDE w:val="0"/>
        <w:autoSpaceDN w:val="0"/>
        <w:adjustRightInd w:val="0"/>
        <w:spacing w:line="276" w:lineRule="auto"/>
        <w:contextualSpacing/>
        <w:rPr>
          <w:rFonts w:ascii="Georgia" w:hAnsi="Georgia" w:cs="Times New Roman"/>
          <w:i/>
          <w:iCs/>
          <w:sz w:val="24"/>
          <w:szCs w:val="24"/>
        </w:rPr>
      </w:pPr>
    </w:p>
    <w:p w:rsidR="00F678CA" w:rsidRPr="00F678CA" w:rsidRDefault="00F678CA" w:rsidP="00F678CA">
      <w:pPr>
        <w:widowControl w:val="0"/>
        <w:autoSpaceDE w:val="0"/>
        <w:autoSpaceDN w:val="0"/>
        <w:adjustRightInd w:val="0"/>
        <w:spacing w:line="276" w:lineRule="auto"/>
        <w:contextualSpacing/>
        <w:rPr>
          <w:rFonts w:ascii="Georgia" w:hAnsi="Georgia" w:cs="Times New Roman"/>
          <w:b/>
          <w:sz w:val="24"/>
          <w:szCs w:val="24"/>
        </w:rPr>
      </w:pPr>
      <w:r w:rsidRPr="00F678CA">
        <w:rPr>
          <w:rFonts w:ascii="Georgia" w:hAnsi="Georgia" w:cs="Times New Roman"/>
          <w:b/>
          <w:sz w:val="24"/>
          <w:szCs w:val="24"/>
        </w:rPr>
        <w:t>Works Cited:</w:t>
      </w:r>
    </w:p>
    <w:p w:rsidR="00F678CA" w:rsidRDefault="00F678CA" w:rsidP="001F2473">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t>Bablet, Denis. 1962. </w:t>
      </w:r>
      <w:r w:rsidRPr="00F678CA">
        <w:rPr>
          <w:rFonts w:ascii="Georgia" w:hAnsi="Georgia" w:cs="Times New Roman"/>
          <w:i/>
          <w:iCs/>
          <w:sz w:val="24"/>
          <w:szCs w:val="24"/>
        </w:rPr>
        <w:t xml:space="preserve">The Theatre of Edward Gordon Craig. </w:t>
      </w:r>
      <w:r w:rsidRPr="00F678CA">
        <w:rPr>
          <w:rFonts w:ascii="Georgia" w:hAnsi="Georgia" w:cs="Times New Roman"/>
          <w:sz w:val="24"/>
          <w:szCs w:val="24"/>
        </w:rPr>
        <w:t>Trans. Daphne Woodward. Methuen, 1981.</w:t>
      </w:r>
    </w:p>
    <w:p w:rsidR="001F2473" w:rsidRPr="00F678CA" w:rsidRDefault="001F2473" w:rsidP="00F678CA">
      <w:pPr>
        <w:widowControl w:val="0"/>
        <w:autoSpaceDE w:val="0"/>
        <w:autoSpaceDN w:val="0"/>
        <w:adjustRightInd w:val="0"/>
        <w:spacing w:line="276" w:lineRule="auto"/>
        <w:contextualSpacing/>
        <w:rPr>
          <w:rFonts w:ascii="Georgia" w:hAnsi="Georgia" w:cs="Times New Roman"/>
          <w:sz w:val="24"/>
          <w:szCs w:val="24"/>
        </w:rPr>
      </w:pPr>
    </w:p>
    <w:p w:rsid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t xml:space="preserve">Burger, Peter. </w:t>
      </w:r>
      <w:r w:rsidRPr="00F678CA">
        <w:rPr>
          <w:rFonts w:ascii="Georgia" w:hAnsi="Georgia" w:cs="Times New Roman"/>
          <w:i/>
          <w:sz w:val="24"/>
          <w:szCs w:val="24"/>
        </w:rPr>
        <w:t>Theory of the Avant-Garde</w:t>
      </w:r>
      <w:r w:rsidRPr="00F678CA">
        <w:rPr>
          <w:rFonts w:ascii="Georgia" w:hAnsi="Georgia" w:cs="Times New Roman"/>
          <w:sz w:val="24"/>
          <w:szCs w:val="24"/>
        </w:rPr>
        <w:t xml:space="preserve">. Trans. Michael Shaw. Manchester University Press, 1984. </w:t>
      </w:r>
    </w:p>
    <w:p w:rsidR="001F2473" w:rsidRPr="00F678CA" w:rsidRDefault="001F2473" w:rsidP="00F678CA">
      <w:pPr>
        <w:widowControl w:val="0"/>
        <w:autoSpaceDE w:val="0"/>
        <w:autoSpaceDN w:val="0"/>
        <w:adjustRightInd w:val="0"/>
        <w:spacing w:line="276" w:lineRule="auto"/>
        <w:contextualSpacing/>
        <w:rPr>
          <w:rFonts w:ascii="Georgia" w:hAnsi="Georgia" w:cs="Times New Roman"/>
          <w:sz w:val="24"/>
          <w:szCs w:val="24"/>
        </w:rPr>
      </w:pPr>
    </w:p>
    <w:p w:rsid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t xml:space="preserve">Craig, Edward Gordon. “Hamlet and Daemon (Shakespeare’s Hamlet )”. </w:t>
      </w:r>
      <w:r w:rsidRPr="00F678CA">
        <w:rPr>
          <w:rFonts w:ascii="Georgia" w:hAnsi="Georgia" w:cs="Times New Roman"/>
          <w:i/>
          <w:sz w:val="24"/>
          <w:szCs w:val="24"/>
        </w:rPr>
        <w:t>The Cranach Press Hamlet</w:t>
      </w:r>
      <w:r w:rsidRPr="00F678CA">
        <w:rPr>
          <w:rFonts w:ascii="Georgia" w:hAnsi="Georgia" w:cs="Times New Roman"/>
          <w:sz w:val="24"/>
          <w:szCs w:val="24"/>
        </w:rPr>
        <w:t>, 1930. Harris Brisbane Dick Fund, 1924. The Metropolitan Museum of Art. www.metmuseum.org/toah/works-of-art/24.65.2/. 18 Jan 2021.</w:t>
      </w:r>
    </w:p>
    <w:p w:rsidR="001F2473" w:rsidRPr="00F678CA" w:rsidRDefault="001F2473" w:rsidP="00F678CA">
      <w:pPr>
        <w:widowControl w:val="0"/>
        <w:autoSpaceDE w:val="0"/>
        <w:autoSpaceDN w:val="0"/>
        <w:adjustRightInd w:val="0"/>
        <w:spacing w:line="276" w:lineRule="auto"/>
        <w:contextualSpacing/>
        <w:rPr>
          <w:rFonts w:ascii="Georgia" w:hAnsi="Georgia" w:cs="Times New Roman"/>
          <w:sz w:val="24"/>
          <w:szCs w:val="24"/>
        </w:rPr>
      </w:pPr>
    </w:p>
    <w:p w:rsid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t xml:space="preserve">---. “Gentlemen, the Marionette!” </w:t>
      </w:r>
      <w:r w:rsidRPr="00F678CA">
        <w:rPr>
          <w:rFonts w:ascii="Georgia" w:hAnsi="Georgia" w:cs="Times New Roman"/>
          <w:bCs/>
          <w:i/>
          <w:sz w:val="24"/>
          <w:szCs w:val="24"/>
        </w:rPr>
        <w:t>The Mask: A Quarterly Illustrated Journal of the Art of Theatre</w:t>
      </w:r>
      <w:r w:rsidRPr="00F678CA">
        <w:rPr>
          <w:rFonts w:ascii="Georgia" w:hAnsi="Georgia" w:cs="Times New Roman"/>
          <w:bCs/>
          <w:sz w:val="24"/>
          <w:szCs w:val="24"/>
        </w:rPr>
        <w:t xml:space="preserve">, </w:t>
      </w:r>
      <w:r w:rsidRPr="00F678CA">
        <w:rPr>
          <w:rFonts w:ascii="Georgia" w:hAnsi="Georgia" w:cs="Times New Roman"/>
          <w:sz w:val="24"/>
          <w:szCs w:val="24"/>
        </w:rPr>
        <w:t>vol. 5, no. 2, 1912, pp. 95–97.</w:t>
      </w:r>
    </w:p>
    <w:p w:rsidR="001F2473" w:rsidRPr="00F678CA" w:rsidRDefault="001F2473" w:rsidP="00F678CA">
      <w:pPr>
        <w:widowControl w:val="0"/>
        <w:autoSpaceDE w:val="0"/>
        <w:autoSpaceDN w:val="0"/>
        <w:adjustRightInd w:val="0"/>
        <w:spacing w:line="276" w:lineRule="auto"/>
        <w:contextualSpacing/>
        <w:rPr>
          <w:rFonts w:ascii="Georgia" w:hAnsi="Georgia" w:cs="Times New Roman"/>
          <w:sz w:val="24"/>
          <w:szCs w:val="24"/>
        </w:rPr>
      </w:pPr>
    </w:p>
    <w:p w:rsidR="00F678CA" w:rsidRDefault="00F678CA" w:rsidP="00F678CA">
      <w:pPr>
        <w:widowControl w:val="0"/>
        <w:autoSpaceDE w:val="0"/>
        <w:autoSpaceDN w:val="0"/>
        <w:adjustRightInd w:val="0"/>
        <w:spacing w:line="276" w:lineRule="auto"/>
        <w:contextualSpacing/>
        <w:rPr>
          <w:rFonts w:ascii="Georgia" w:hAnsi="Georgia" w:cs="Times New Roman"/>
          <w:bCs/>
          <w:sz w:val="24"/>
          <w:szCs w:val="24"/>
        </w:rPr>
      </w:pPr>
      <w:r w:rsidRPr="00F678CA">
        <w:rPr>
          <w:rFonts w:ascii="Georgia" w:hAnsi="Georgia" w:cs="Times New Roman"/>
          <w:sz w:val="24"/>
          <w:szCs w:val="24"/>
        </w:rPr>
        <w:t xml:space="preserve">---.“The Actor and the Über-marionette”. </w:t>
      </w:r>
      <w:r w:rsidRPr="00F678CA">
        <w:rPr>
          <w:rFonts w:ascii="Georgia" w:hAnsi="Georgia" w:cs="Times New Roman"/>
          <w:bCs/>
          <w:i/>
          <w:sz w:val="24"/>
          <w:szCs w:val="24"/>
        </w:rPr>
        <w:t>The Mask: A Quarterly Illustrated Journal of the Art of Theatre</w:t>
      </w:r>
      <w:r w:rsidRPr="00F678CA">
        <w:rPr>
          <w:rFonts w:ascii="Georgia" w:hAnsi="Georgia" w:cs="Times New Roman"/>
          <w:bCs/>
          <w:sz w:val="24"/>
          <w:szCs w:val="24"/>
        </w:rPr>
        <w:t>, vol. 1, no. 2, 1908, pp 3.</w:t>
      </w:r>
    </w:p>
    <w:p w:rsidR="001F2473" w:rsidRPr="00F678CA" w:rsidRDefault="001F2473" w:rsidP="00F678CA">
      <w:pPr>
        <w:widowControl w:val="0"/>
        <w:autoSpaceDE w:val="0"/>
        <w:autoSpaceDN w:val="0"/>
        <w:adjustRightInd w:val="0"/>
        <w:spacing w:line="276" w:lineRule="auto"/>
        <w:contextualSpacing/>
        <w:rPr>
          <w:rFonts w:ascii="Georgia" w:hAnsi="Georgia" w:cs="Times New Roman"/>
          <w:sz w:val="24"/>
          <w:szCs w:val="24"/>
        </w:rPr>
      </w:pPr>
    </w:p>
    <w:p w:rsid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t xml:space="preserve">---. </w:t>
      </w:r>
      <w:r w:rsidRPr="00F678CA">
        <w:rPr>
          <w:rFonts w:ascii="Georgia" w:hAnsi="Georgia" w:cs="Times New Roman"/>
          <w:i/>
          <w:sz w:val="24"/>
          <w:szCs w:val="24"/>
        </w:rPr>
        <w:t>TheTragedie of Hamlet Prince of Denmarke</w:t>
      </w:r>
      <w:r w:rsidRPr="00F678CA">
        <w:rPr>
          <w:rFonts w:ascii="Georgia" w:hAnsi="Georgia" w:cs="Times New Roman"/>
          <w:sz w:val="24"/>
          <w:szCs w:val="24"/>
        </w:rPr>
        <w:t>.Edited by J. Dover Wilson</w:t>
      </w:r>
      <w:r w:rsidRPr="00F678CA">
        <w:rPr>
          <w:rFonts w:ascii="Georgia" w:hAnsi="Georgia" w:cs="Times New Roman"/>
          <w:i/>
          <w:sz w:val="24"/>
          <w:szCs w:val="24"/>
        </w:rPr>
        <w:t xml:space="preserve">. </w:t>
      </w:r>
      <w:r w:rsidRPr="00F678CA">
        <w:rPr>
          <w:rFonts w:ascii="Georgia" w:hAnsi="Georgia" w:cs="Times New Roman"/>
          <w:sz w:val="24"/>
          <w:szCs w:val="24"/>
        </w:rPr>
        <w:t xml:space="preserve">Gleeson Library Digital Centre, University of San Francisco.  </w:t>
      </w:r>
      <w:hyperlink r:id="rId30" w:history="1">
        <w:r w:rsidRPr="00F678CA">
          <w:rPr>
            <w:rStyle w:val="Hyperlink"/>
            <w:rFonts w:ascii="Georgia" w:hAnsi="Georgia" w:cs="Times New Roman"/>
            <w:sz w:val="24"/>
            <w:szCs w:val="24"/>
          </w:rPr>
          <w:t>digitalcollections.usfca.edu/digital/collection/p264101coll7/id/3436</w:t>
        </w:r>
      </w:hyperlink>
      <w:r w:rsidRPr="00F678CA">
        <w:rPr>
          <w:rFonts w:ascii="Georgia" w:hAnsi="Georgia" w:cs="Times New Roman"/>
          <w:sz w:val="24"/>
          <w:szCs w:val="24"/>
        </w:rPr>
        <w:t>.</w:t>
      </w:r>
    </w:p>
    <w:p w:rsidR="001F2473" w:rsidRPr="00F678CA" w:rsidRDefault="001F2473" w:rsidP="00F678CA">
      <w:pPr>
        <w:widowControl w:val="0"/>
        <w:autoSpaceDE w:val="0"/>
        <w:autoSpaceDN w:val="0"/>
        <w:adjustRightInd w:val="0"/>
        <w:spacing w:line="276" w:lineRule="auto"/>
        <w:contextualSpacing/>
        <w:rPr>
          <w:rFonts w:ascii="Georgia" w:hAnsi="Georgia" w:cs="Times New Roman"/>
          <w:sz w:val="24"/>
          <w:szCs w:val="24"/>
        </w:rPr>
      </w:pPr>
    </w:p>
    <w:p w:rsid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lastRenderedPageBreak/>
        <w:t xml:space="preserve">---. </w:t>
      </w:r>
      <w:r w:rsidRPr="00F678CA">
        <w:rPr>
          <w:rFonts w:ascii="Georgia" w:hAnsi="Georgia" w:cs="Times New Roman"/>
          <w:i/>
          <w:sz w:val="24"/>
          <w:szCs w:val="24"/>
        </w:rPr>
        <w:t>Towards A New Theatre: Forty Designs For Stage Scenes With Critical Notes By The Inventor Edward Gordon Craig</w:t>
      </w:r>
      <w:r w:rsidRPr="00F678CA">
        <w:rPr>
          <w:rFonts w:ascii="Georgia" w:hAnsi="Georgia" w:cs="Times New Roman"/>
          <w:sz w:val="24"/>
          <w:szCs w:val="24"/>
        </w:rPr>
        <w:t>. J. M Dent and Sons, 1911.</w:t>
      </w:r>
    </w:p>
    <w:p w:rsidR="001F2473" w:rsidRPr="00F678CA" w:rsidRDefault="001F2473" w:rsidP="00F678CA">
      <w:pPr>
        <w:widowControl w:val="0"/>
        <w:autoSpaceDE w:val="0"/>
        <w:autoSpaceDN w:val="0"/>
        <w:adjustRightInd w:val="0"/>
        <w:spacing w:line="276" w:lineRule="auto"/>
        <w:contextualSpacing/>
        <w:rPr>
          <w:rFonts w:ascii="Georgia" w:hAnsi="Georgia" w:cs="Times New Roman"/>
          <w:sz w:val="24"/>
          <w:szCs w:val="24"/>
        </w:rPr>
      </w:pPr>
    </w:p>
    <w:p w:rsid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t xml:space="preserve">Garber, Marjorie. “A Tale of Three </w:t>
      </w:r>
      <w:r w:rsidRPr="00F678CA">
        <w:rPr>
          <w:rFonts w:ascii="Georgia" w:hAnsi="Georgia" w:cs="Times New Roman"/>
          <w:i/>
          <w:iCs/>
          <w:sz w:val="24"/>
          <w:szCs w:val="24"/>
        </w:rPr>
        <w:t>Hamlet</w:t>
      </w:r>
      <w:r w:rsidRPr="00F678CA">
        <w:rPr>
          <w:rFonts w:ascii="Georgia" w:hAnsi="Georgia" w:cs="Times New Roman"/>
          <w:sz w:val="24"/>
          <w:szCs w:val="24"/>
        </w:rPr>
        <w:t xml:space="preserve">s or, Repetition and Revenge” in </w:t>
      </w:r>
      <w:r w:rsidRPr="00F678CA">
        <w:rPr>
          <w:rFonts w:ascii="Georgia" w:hAnsi="Georgia" w:cs="Times New Roman"/>
          <w:i/>
          <w:sz w:val="24"/>
          <w:szCs w:val="24"/>
        </w:rPr>
        <w:t xml:space="preserve">Loaded Words. </w:t>
      </w:r>
      <w:r w:rsidRPr="00F678CA">
        <w:rPr>
          <w:rFonts w:ascii="Georgia" w:hAnsi="Georgia" w:cs="Times New Roman"/>
          <w:sz w:val="24"/>
          <w:szCs w:val="24"/>
        </w:rPr>
        <w:t>Fordham University Press, 2012.</w:t>
      </w:r>
    </w:p>
    <w:p w:rsidR="001F2473" w:rsidRPr="00F678CA" w:rsidRDefault="001F2473" w:rsidP="00F678CA">
      <w:pPr>
        <w:widowControl w:val="0"/>
        <w:autoSpaceDE w:val="0"/>
        <w:autoSpaceDN w:val="0"/>
        <w:adjustRightInd w:val="0"/>
        <w:spacing w:line="276" w:lineRule="auto"/>
        <w:contextualSpacing/>
        <w:rPr>
          <w:rFonts w:ascii="Georgia" w:hAnsi="Georgia" w:cs="Times New Roman"/>
          <w:sz w:val="24"/>
          <w:szCs w:val="24"/>
        </w:rPr>
      </w:pPr>
    </w:p>
    <w:p w:rsidR="00F678CA" w:rsidRDefault="00F678CA" w:rsidP="00F678CA">
      <w:pPr>
        <w:widowControl w:val="0"/>
        <w:autoSpaceDE w:val="0"/>
        <w:autoSpaceDN w:val="0"/>
        <w:adjustRightInd w:val="0"/>
        <w:spacing w:line="276" w:lineRule="auto"/>
        <w:contextualSpacing/>
        <w:rPr>
          <w:rFonts w:ascii="Georgia" w:hAnsi="Georgia" w:cs="Times New Roman"/>
          <w:bCs/>
          <w:sz w:val="24"/>
          <w:szCs w:val="24"/>
        </w:rPr>
      </w:pPr>
      <w:r w:rsidRPr="00F678CA">
        <w:rPr>
          <w:rFonts w:ascii="Georgia" w:hAnsi="Georgia" w:cs="Times New Roman"/>
          <w:bCs/>
          <w:sz w:val="24"/>
          <w:szCs w:val="24"/>
        </w:rPr>
        <w:t xml:space="preserve">Gusejnova, Dina. </w:t>
      </w:r>
      <w:r w:rsidRPr="00F678CA">
        <w:rPr>
          <w:rFonts w:ascii="Georgia" w:hAnsi="Georgia" w:cs="Times New Roman"/>
          <w:bCs/>
          <w:i/>
          <w:sz w:val="24"/>
          <w:szCs w:val="24"/>
        </w:rPr>
        <w:t>European Elites and Ideas of Empire, 1917-1957</w:t>
      </w:r>
      <w:r w:rsidRPr="00F678CA">
        <w:rPr>
          <w:rFonts w:ascii="Georgia" w:hAnsi="Georgia" w:cs="Times New Roman"/>
          <w:bCs/>
          <w:sz w:val="24"/>
          <w:szCs w:val="24"/>
        </w:rPr>
        <w:t>. Cambridge University Press, 2016.</w:t>
      </w:r>
    </w:p>
    <w:p w:rsidR="001F2473" w:rsidRPr="00F678CA" w:rsidRDefault="001F2473" w:rsidP="00F678CA">
      <w:pPr>
        <w:widowControl w:val="0"/>
        <w:autoSpaceDE w:val="0"/>
        <w:autoSpaceDN w:val="0"/>
        <w:adjustRightInd w:val="0"/>
        <w:spacing w:line="276" w:lineRule="auto"/>
        <w:contextualSpacing/>
        <w:rPr>
          <w:rFonts w:ascii="Georgia" w:hAnsi="Georgia" w:cs="Times New Roman"/>
          <w:bCs/>
          <w:sz w:val="24"/>
          <w:szCs w:val="24"/>
        </w:rPr>
      </w:pPr>
    </w:p>
    <w:p w:rsid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t xml:space="preserve">Newman, L.M. “From Page to Stage: Hamlet with Edward Gordon Craig.” </w:t>
      </w:r>
      <w:r w:rsidRPr="00F678CA">
        <w:rPr>
          <w:rFonts w:ascii="Georgia" w:hAnsi="Georgia" w:cs="Times New Roman"/>
          <w:i/>
          <w:iCs/>
          <w:sz w:val="24"/>
          <w:szCs w:val="24"/>
        </w:rPr>
        <w:t>The Book as a Work of Art. The Cranach Press of Count Harry Kessler</w:t>
      </w:r>
      <w:r w:rsidRPr="00F678CA">
        <w:rPr>
          <w:rFonts w:ascii="Georgia" w:hAnsi="Georgia" w:cs="Times New Roman"/>
          <w:sz w:val="24"/>
          <w:szCs w:val="24"/>
        </w:rPr>
        <w:t>. Edited by John Dieter Brinks. Triton Verlag and Williams College, 2005, pp. 126–45.</w:t>
      </w:r>
    </w:p>
    <w:p w:rsidR="001F2473" w:rsidRPr="00F678CA" w:rsidRDefault="001F2473" w:rsidP="00F678CA">
      <w:pPr>
        <w:widowControl w:val="0"/>
        <w:autoSpaceDE w:val="0"/>
        <w:autoSpaceDN w:val="0"/>
        <w:adjustRightInd w:val="0"/>
        <w:spacing w:line="276" w:lineRule="auto"/>
        <w:contextualSpacing/>
        <w:rPr>
          <w:rFonts w:ascii="Georgia" w:hAnsi="Georgia" w:cs="Times New Roman"/>
          <w:sz w:val="24"/>
          <w:szCs w:val="24"/>
        </w:rPr>
      </w:pPr>
    </w:p>
    <w:p w:rsidR="00F678CA" w:rsidRDefault="00F678CA" w:rsidP="00F678CA">
      <w:pPr>
        <w:widowControl w:val="0"/>
        <w:autoSpaceDE w:val="0"/>
        <w:autoSpaceDN w:val="0"/>
        <w:adjustRightInd w:val="0"/>
        <w:spacing w:line="276" w:lineRule="auto"/>
        <w:contextualSpacing/>
        <w:rPr>
          <w:rFonts w:ascii="Georgia" w:hAnsi="Georgia" w:cs="Times New Roman"/>
          <w:bCs/>
          <w:sz w:val="24"/>
          <w:szCs w:val="24"/>
        </w:rPr>
      </w:pPr>
      <w:r w:rsidRPr="00F678CA">
        <w:rPr>
          <w:rFonts w:ascii="Georgia" w:hAnsi="Georgia" w:cs="Times New Roman"/>
          <w:bCs/>
          <w:sz w:val="24"/>
          <w:szCs w:val="24"/>
        </w:rPr>
        <w:t xml:space="preserve">Norman, Jeremy. ‘Morris' Kelmscott Press Printing of Ruskin's "The Nature of Gothic": A Manifesto for the Arts &amp; Crafts Movement’, </w:t>
      </w:r>
      <w:r w:rsidRPr="00F678CA">
        <w:rPr>
          <w:rFonts w:ascii="Georgia" w:hAnsi="Georgia" w:cs="Times New Roman"/>
          <w:bCs/>
          <w:i/>
          <w:sz w:val="24"/>
          <w:szCs w:val="24"/>
        </w:rPr>
        <w:t xml:space="preserve">Jeremy Norman’s History of Information.com. </w:t>
      </w:r>
      <w:hyperlink r:id="rId31" w:history="1">
        <w:r w:rsidRPr="00F678CA">
          <w:rPr>
            <w:rStyle w:val="Hyperlink"/>
            <w:rFonts w:ascii="Georgia" w:hAnsi="Georgia" w:cs="Times New Roman"/>
            <w:bCs/>
            <w:sz w:val="24"/>
            <w:szCs w:val="24"/>
          </w:rPr>
          <w:t>www.historyofinformation.com/detail.php?id=4473</w:t>
        </w:r>
      </w:hyperlink>
      <w:r w:rsidRPr="00F678CA">
        <w:rPr>
          <w:rFonts w:ascii="Georgia" w:hAnsi="Georgia" w:cs="Times New Roman"/>
          <w:bCs/>
          <w:sz w:val="24"/>
          <w:szCs w:val="24"/>
        </w:rPr>
        <w:t xml:space="preserve"> . 21 Dec 2019</w:t>
      </w:r>
    </w:p>
    <w:p w:rsidR="001F2473" w:rsidRPr="00F678CA" w:rsidRDefault="001F2473" w:rsidP="00F678CA">
      <w:pPr>
        <w:widowControl w:val="0"/>
        <w:autoSpaceDE w:val="0"/>
        <w:autoSpaceDN w:val="0"/>
        <w:adjustRightInd w:val="0"/>
        <w:spacing w:line="276" w:lineRule="auto"/>
        <w:contextualSpacing/>
        <w:rPr>
          <w:rFonts w:ascii="Georgia" w:hAnsi="Georgia" w:cs="Times New Roman"/>
          <w:bCs/>
          <w:i/>
          <w:sz w:val="24"/>
          <w:szCs w:val="24"/>
        </w:rPr>
      </w:pPr>
    </w:p>
    <w:p w:rsidR="00F678CA" w:rsidRDefault="00F678CA" w:rsidP="00F678CA">
      <w:pPr>
        <w:widowControl w:val="0"/>
        <w:autoSpaceDE w:val="0"/>
        <w:autoSpaceDN w:val="0"/>
        <w:adjustRightInd w:val="0"/>
        <w:spacing w:line="276" w:lineRule="auto"/>
        <w:contextualSpacing/>
        <w:rPr>
          <w:rFonts w:ascii="Georgia" w:hAnsi="Georgia" w:cs="Times New Roman"/>
          <w:i/>
          <w:iCs/>
          <w:sz w:val="24"/>
          <w:szCs w:val="24"/>
        </w:rPr>
      </w:pPr>
      <w:r w:rsidRPr="00F678CA">
        <w:rPr>
          <w:rFonts w:ascii="Georgia" w:hAnsi="Georgia" w:cs="Times New Roman"/>
          <w:sz w:val="24"/>
          <w:szCs w:val="24"/>
        </w:rPr>
        <w:t xml:space="preserve">Osanai, Kaoru. “Gordon Craig's Production of "Hamlet" at the Moscow Art Theatre” Trans. Andrew T. Tsubaki, Educational Theatre Journal, Vol. 20, No. 4 (Dec., 1968), pp. 586-593, </w:t>
      </w:r>
      <w:r w:rsidRPr="00F678CA">
        <w:rPr>
          <w:rFonts w:ascii="Georgia" w:hAnsi="Georgia" w:cs="Times New Roman"/>
          <w:i/>
          <w:sz w:val="24"/>
          <w:szCs w:val="24"/>
        </w:rPr>
        <w:t xml:space="preserve">The John Hopkins University Press. </w:t>
      </w:r>
      <w:r w:rsidRPr="00F678CA">
        <w:rPr>
          <w:rFonts w:ascii="Georgia" w:hAnsi="Georgia" w:cs="Times New Roman"/>
          <w:iCs/>
          <w:sz w:val="24"/>
          <w:szCs w:val="24"/>
        </w:rPr>
        <w:t>20 Dec. 2019.</w:t>
      </w:r>
      <w:r w:rsidRPr="00F678CA">
        <w:rPr>
          <w:rFonts w:ascii="Georgia" w:hAnsi="Georgia" w:cs="Times New Roman"/>
          <w:i/>
          <w:iCs/>
          <w:sz w:val="24"/>
          <w:szCs w:val="24"/>
        </w:rPr>
        <w:t> </w:t>
      </w:r>
    </w:p>
    <w:p w:rsidR="001F2473" w:rsidRPr="00F678CA" w:rsidRDefault="001F2473" w:rsidP="00F678CA">
      <w:pPr>
        <w:widowControl w:val="0"/>
        <w:autoSpaceDE w:val="0"/>
        <w:autoSpaceDN w:val="0"/>
        <w:adjustRightInd w:val="0"/>
        <w:spacing w:line="276" w:lineRule="auto"/>
        <w:contextualSpacing/>
        <w:rPr>
          <w:rFonts w:ascii="Georgia" w:hAnsi="Georgia" w:cs="Times New Roman"/>
          <w:i/>
          <w:sz w:val="24"/>
          <w:szCs w:val="24"/>
        </w:rPr>
      </w:pPr>
    </w:p>
    <w:p w:rsidR="00F678CA" w:rsidRDefault="00F678CA" w:rsidP="00F678CA">
      <w:pPr>
        <w:widowControl w:val="0"/>
        <w:autoSpaceDE w:val="0"/>
        <w:autoSpaceDN w:val="0"/>
        <w:adjustRightInd w:val="0"/>
        <w:spacing w:line="276" w:lineRule="auto"/>
        <w:contextualSpacing/>
        <w:rPr>
          <w:rFonts w:ascii="Georgia" w:hAnsi="Georgia" w:cs="Times New Roman"/>
          <w:i/>
          <w:iCs/>
          <w:sz w:val="24"/>
          <w:szCs w:val="24"/>
        </w:rPr>
      </w:pPr>
      <w:r w:rsidRPr="00F678CA">
        <w:rPr>
          <w:rFonts w:ascii="Georgia" w:hAnsi="Georgia" w:cs="Times New Roman"/>
          <w:sz w:val="24"/>
          <w:szCs w:val="24"/>
        </w:rPr>
        <w:t xml:space="preserve">Payne, Harry. “Edward Gordon Craig: The Revolutionary of the Theatre as Hamlet” </w:t>
      </w:r>
      <w:r w:rsidRPr="00F678CA">
        <w:rPr>
          <w:rFonts w:ascii="Georgia" w:hAnsi="Georgia" w:cs="Times New Roman"/>
          <w:i/>
          <w:iCs/>
          <w:sz w:val="24"/>
          <w:szCs w:val="24"/>
        </w:rPr>
        <w:t xml:space="preserve">Biography, </w:t>
      </w:r>
      <w:r w:rsidRPr="00F678CA">
        <w:rPr>
          <w:rFonts w:ascii="Georgia" w:hAnsi="Georgia" w:cs="Times New Roman"/>
          <w:iCs/>
          <w:sz w:val="24"/>
          <w:szCs w:val="24"/>
        </w:rPr>
        <w:t xml:space="preserve">Vol. 10, No. 4 (1987), pp. 305-321, </w:t>
      </w:r>
      <w:r w:rsidRPr="00F678CA">
        <w:rPr>
          <w:rFonts w:ascii="Georgia" w:hAnsi="Georgia" w:cs="Times New Roman"/>
          <w:i/>
          <w:iCs/>
          <w:sz w:val="24"/>
          <w:szCs w:val="24"/>
        </w:rPr>
        <w:t>Jstor</w:t>
      </w:r>
      <w:r w:rsidRPr="00F678CA">
        <w:rPr>
          <w:rFonts w:ascii="Georgia" w:hAnsi="Georgia" w:cs="Times New Roman"/>
          <w:iCs/>
          <w:sz w:val="24"/>
          <w:szCs w:val="24"/>
        </w:rPr>
        <w:t>. 19 Dec. 2019</w:t>
      </w:r>
      <w:r w:rsidRPr="00F678CA">
        <w:rPr>
          <w:rFonts w:ascii="Georgia" w:hAnsi="Georgia" w:cs="Times New Roman"/>
          <w:i/>
          <w:iCs/>
          <w:sz w:val="24"/>
          <w:szCs w:val="24"/>
        </w:rPr>
        <w:t>. </w:t>
      </w:r>
    </w:p>
    <w:p w:rsidR="001F2473" w:rsidRPr="00F678CA" w:rsidRDefault="001F2473" w:rsidP="00F678CA">
      <w:pPr>
        <w:widowControl w:val="0"/>
        <w:autoSpaceDE w:val="0"/>
        <w:autoSpaceDN w:val="0"/>
        <w:adjustRightInd w:val="0"/>
        <w:spacing w:line="276" w:lineRule="auto"/>
        <w:contextualSpacing/>
        <w:rPr>
          <w:rFonts w:ascii="Georgia" w:hAnsi="Georgia" w:cs="Times New Roman"/>
          <w:sz w:val="24"/>
          <w:szCs w:val="24"/>
        </w:rPr>
      </w:pPr>
    </w:p>
    <w:p w:rsid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t xml:space="preserve">Poggioli, Renato. </w:t>
      </w:r>
      <w:r w:rsidRPr="00F678CA">
        <w:rPr>
          <w:rFonts w:ascii="Georgia" w:hAnsi="Georgia" w:cs="Times New Roman"/>
          <w:i/>
          <w:sz w:val="24"/>
          <w:szCs w:val="24"/>
        </w:rPr>
        <w:t>The Theory of the Avant-Garde</w:t>
      </w:r>
      <w:r w:rsidRPr="00F678CA">
        <w:rPr>
          <w:rFonts w:ascii="Georgia" w:hAnsi="Georgia" w:cs="Times New Roman"/>
          <w:sz w:val="24"/>
          <w:szCs w:val="24"/>
        </w:rPr>
        <w:t>, trans. Gerald Fitzgerald. Cambridge, Mass., 1968.</w:t>
      </w:r>
    </w:p>
    <w:p w:rsidR="001F2473" w:rsidRPr="00F678CA" w:rsidRDefault="001F2473" w:rsidP="00F678CA">
      <w:pPr>
        <w:widowControl w:val="0"/>
        <w:autoSpaceDE w:val="0"/>
        <w:autoSpaceDN w:val="0"/>
        <w:adjustRightInd w:val="0"/>
        <w:spacing w:line="276" w:lineRule="auto"/>
        <w:contextualSpacing/>
        <w:rPr>
          <w:rFonts w:ascii="Georgia" w:hAnsi="Georgia" w:cs="Times New Roman"/>
          <w:sz w:val="24"/>
          <w:szCs w:val="24"/>
        </w:rPr>
      </w:pPr>
    </w:p>
    <w:p w:rsid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t xml:space="preserve">Preece,Warren E. and James M. Wells.  “Typography”. </w:t>
      </w:r>
      <w:r w:rsidRPr="00F678CA">
        <w:rPr>
          <w:rFonts w:ascii="Georgia" w:hAnsi="Georgia" w:cs="Times New Roman"/>
          <w:i/>
          <w:sz w:val="24"/>
          <w:szCs w:val="24"/>
        </w:rPr>
        <w:t>Encyclopaedia Britannica</w:t>
      </w:r>
      <w:r w:rsidRPr="00F678CA">
        <w:rPr>
          <w:rFonts w:ascii="Georgia" w:hAnsi="Georgia" w:cs="Times New Roman"/>
          <w:sz w:val="24"/>
          <w:szCs w:val="24"/>
        </w:rPr>
        <w:t xml:space="preserve">, Inc. Encyclopaedia Britannica. 6 June 2019. </w:t>
      </w:r>
      <w:hyperlink r:id="rId32" w:history="1">
        <w:r w:rsidR="001F2473" w:rsidRPr="00230325">
          <w:rPr>
            <w:rStyle w:val="Hyperlink"/>
            <w:rFonts w:ascii="Georgia" w:hAnsi="Georgia" w:cs="Times New Roman"/>
            <w:sz w:val="24"/>
            <w:szCs w:val="24"/>
          </w:rPr>
          <w:t>www.britannica.com/technology/typography/The-private-press-movement. 5 Dec 2020</w:t>
        </w:r>
      </w:hyperlink>
      <w:r w:rsidRPr="00F678CA">
        <w:rPr>
          <w:rFonts w:ascii="Georgia" w:hAnsi="Georgia" w:cs="Times New Roman"/>
          <w:sz w:val="24"/>
          <w:szCs w:val="24"/>
        </w:rPr>
        <w:t xml:space="preserve">. </w:t>
      </w:r>
    </w:p>
    <w:p w:rsidR="001F2473" w:rsidRPr="00F678CA" w:rsidRDefault="001F2473" w:rsidP="00F678CA">
      <w:pPr>
        <w:widowControl w:val="0"/>
        <w:autoSpaceDE w:val="0"/>
        <w:autoSpaceDN w:val="0"/>
        <w:adjustRightInd w:val="0"/>
        <w:spacing w:line="276" w:lineRule="auto"/>
        <w:contextualSpacing/>
        <w:rPr>
          <w:rFonts w:ascii="Georgia" w:hAnsi="Georgia" w:cs="Times New Roman"/>
          <w:sz w:val="24"/>
          <w:szCs w:val="24"/>
        </w:rPr>
      </w:pPr>
    </w:p>
    <w:p w:rsidR="00F678CA" w:rsidRDefault="00F678CA" w:rsidP="00F678CA">
      <w:pPr>
        <w:widowControl w:val="0"/>
        <w:autoSpaceDE w:val="0"/>
        <w:autoSpaceDN w:val="0"/>
        <w:adjustRightInd w:val="0"/>
        <w:spacing w:line="276" w:lineRule="auto"/>
        <w:contextualSpacing/>
        <w:rPr>
          <w:rFonts w:ascii="Georgia" w:hAnsi="Georgia" w:cs="Times New Roman"/>
          <w:iCs/>
          <w:sz w:val="24"/>
          <w:szCs w:val="24"/>
        </w:rPr>
      </w:pPr>
      <w:r w:rsidRPr="00F678CA">
        <w:rPr>
          <w:rFonts w:ascii="Georgia" w:hAnsi="Georgia" w:cs="Times New Roman"/>
          <w:iCs/>
          <w:sz w:val="24"/>
          <w:szCs w:val="24"/>
        </w:rPr>
        <w:t>Ruskin, John</w:t>
      </w:r>
      <w:r w:rsidRPr="00F678CA">
        <w:rPr>
          <w:rFonts w:ascii="Georgia" w:hAnsi="Georgia" w:cs="Times New Roman"/>
          <w:i/>
          <w:iCs/>
          <w:sz w:val="24"/>
          <w:szCs w:val="24"/>
        </w:rPr>
        <w:t>. The Stones of Venice vol. II: Cook and Wedderburn</w:t>
      </w:r>
      <w:r w:rsidRPr="00F678CA">
        <w:rPr>
          <w:rFonts w:ascii="Georgia" w:hAnsi="Georgia" w:cs="Times New Roman"/>
          <w:iCs/>
          <w:sz w:val="24"/>
          <w:szCs w:val="24"/>
        </w:rPr>
        <w:t>.Estes and Lauriat, Boston, 1853.</w:t>
      </w:r>
    </w:p>
    <w:p w:rsidR="001F2473" w:rsidRPr="00F678CA" w:rsidRDefault="001F2473" w:rsidP="00F678CA">
      <w:pPr>
        <w:widowControl w:val="0"/>
        <w:autoSpaceDE w:val="0"/>
        <w:autoSpaceDN w:val="0"/>
        <w:adjustRightInd w:val="0"/>
        <w:spacing w:line="276" w:lineRule="auto"/>
        <w:contextualSpacing/>
        <w:rPr>
          <w:rFonts w:ascii="Georgia" w:hAnsi="Georgia" w:cs="Times New Roman"/>
          <w:iCs/>
          <w:sz w:val="24"/>
          <w:szCs w:val="24"/>
        </w:rPr>
      </w:pPr>
    </w:p>
    <w:p w:rsidR="00F678CA" w:rsidRDefault="00F678CA" w:rsidP="00F678CA">
      <w:pPr>
        <w:widowControl w:val="0"/>
        <w:autoSpaceDE w:val="0"/>
        <w:autoSpaceDN w:val="0"/>
        <w:adjustRightInd w:val="0"/>
        <w:spacing w:line="276" w:lineRule="auto"/>
        <w:contextualSpacing/>
        <w:rPr>
          <w:rFonts w:ascii="Georgia" w:hAnsi="Georgia" w:cs="Times New Roman"/>
          <w:bCs/>
          <w:sz w:val="24"/>
          <w:szCs w:val="24"/>
        </w:rPr>
      </w:pPr>
      <w:r w:rsidRPr="00F678CA">
        <w:rPr>
          <w:rFonts w:ascii="Georgia" w:hAnsi="Georgia" w:cs="Times New Roman"/>
          <w:bCs/>
          <w:sz w:val="24"/>
          <w:szCs w:val="24"/>
        </w:rPr>
        <w:t xml:space="preserve">“Shakespeare and the Private Press”, </w:t>
      </w:r>
      <w:hyperlink r:id="rId33" w:history="1">
        <w:r w:rsidRPr="00F678CA">
          <w:rPr>
            <w:rStyle w:val="Hyperlink"/>
            <w:rFonts w:ascii="Georgia" w:hAnsi="Georgia" w:cs="Times New Roman"/>
            <w:bCs/>
            <w:i/>
            <w:sz w:val="24"/>
            <w:szCs w:val="24"/>
          </w:rPr>
          <w:t>Shakespeare Through the Ages</w:t>
        </w:r>
      </w:hyperlink>
      <w:r w:rsidRPr="00F678CA">
        <w:rPr>
          <w:rFonts w:ascii="Georgia" w:hAnsi="Georgia" w:cs="Times New Roman"/>
          <w:bCs/>
          <w:i/>
          <w:sz w:val="24"/>
          <w:szCs w:val="24"/>
        </w:rPr>
        <w:t xml:space="preserve">. </w:t>
      </w:r>
      <w:r w:rsidRPr="00F678CA">
        <w:rPr>
          <w:rFonts w:ascii="Georgia" w:hAnsi="Georgia" w:cs="Times New Roman"/>
          <w:bCs/>
          <w:sz w:val="24"/>
          <w:szCs w:val="24"/>
        </w:rPr>
        <w:t xml:space="preserve">University of Deiaware. </w:t>
      </w:r>
      <w:hyperlink r:id="rId34" w:history="1">
        <w:r w:rsidRPr="00F678CA">
          <w:rPr>
            <w:rStyle w:val="Hyperlink"/>
            <w:rFonts w:ascii="Georgia" w:hAnsi="Georgia" w:cs="Times New Roman"/>
            <w:bCs/>
            <w:sz w:val="24"/>
            <w:szCs w:val="24"/>
          </w:rPr>
          <w:t>exhibits.lib.udel.edu/exhibits/show/shakespeare-through-the-ages/shakespeare-and-the-private-pr</w:t>
        </w:r>
      </w:hyperlink>
      <w:r w:rsidRPr="00F678CA">
        <w:rPr>
          <w:rFonts w:ascii="Georgia" w:hAnsi="Georgia" w:cs="Times New Roman"/>
          <w:bCs/>
          <w:sz w:val="24"/>
          <w:szCs w:val="24"/>
        </w:rPr>
        <w:t>. 24 June 2017.</w:t>
      </w:r>
    </w:p>
    <w:p w:rsidR="001F2473" w:rsidRPr="00F678CA" w:rsidRDefault="001F2473" w:rsidP="00F678CA">
      <w:pPr>
        <w:widowControl w:val="0"/>
        <w:autoSpaceDE w:val="0"/>
        <w:autoSpaceDN w:val="0"/>
        <w:adjustRightInd w:val="0"/>
        <w:spacing w:line="276" w:lineRule="auto"/>
        <w:contextualSpacing/>
        <w:rPr>
          <w:rFonts w:ascii="Georgia" w:hAnsi="Georgia" w:cs="Times New Roman"/>
          <w:bCs/>
          <w:sz w:val="24"/>
          <w:szCs w:val="24"/>
        </w:rPr>
      </w:pPr>
    </w:p>
    <w:p w:rsid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t xml:space="preserve">Shakespeare, William. </w:t>
      </w:r>
      <w:r w:rsidRPr="00F678CA">
        <w:rPr>
          <w:rFonts w:ascii="Georgia" w:hAnsi="Georgia" w:cs="Times New Roman"/>
          <w:i/>
          <w:sz w:val="24"/>
          <w:szCs w:val="24"/>
        </w:rPr>
        <w:t>Hamlet</w:t>
      </w:r>
      <w:r w:rsidRPr="00F678CA">
        <w:rPr>
          <w:rFonts w:ascii="Georgia" w:hAnsi="Georgia" w:cs="Times New Roman"/>
          <w:sz w:val="24"/>
          <w:szCs w:val="24"/>
        </w:rPr>
        <w:t>. Ed. Ann Thompson. The Arden Shakespeare Third Series. Bloombury Publication, 2016. (All quotations are from this book)</w:t>
      </w:r>
    </w:p>
    <w:p w:rsidR="00BB2B03" w:rsidRPr="00F678CA" w:rsidRDefault="00BB2B03" w:rsidP="00F678CA">
      <w:pPr>
        <w:widowControl w:val="0"/>
        <w:autoSpaceDE w:val="0"/>
        <w:autoSpaceDN w:val="0"/>
        <w:adjustRightInd w:val="0"/>
        <w:spacing w:line="276" w:lineRule="auto"/>
        <w:contextualSpacing/>
        <w:rPr>
          <w:rFonts w:ascii="Georgia" w:hAnsi="Georgia" w:cs="Times New Roman"/>
          <w:sz w:val="24"/>
          <w:szCs w:val="24"/>
        </w:rPr>
      </w:pPr>
    </w:p>
    <w:p w:rsidR="00F678CA" w:rsidRPr="00F678CA" w:rsidRDefault="00F678CA" w:rsidP="00F678CA">
      <w:pPr>
        <w:widowControl w:val="0"/>
        <w:autoSpaceDE w:val="0"/>
        <w:autoSpaceDN w:val="0"/>
        <w:adjustRightInd w:val="0"/>
        <w:spacing w:line="276" w:lineRule="auto"/>
        <w:contextualSpacing/>
        <w:rPr>
          <w:rFonts w:ascii="Georgia" w:hAnsi="Georgia" w:cs="Times New Roman"/>
          <w:sz w:val="24"/>
          <w:szCs w:val="24"/>
        </w:rPr>
      </w:pPr>
      <w:r w:rsidRPr="00F678CA">
        <w:rPr>
          <w:rFonts w:ascii="Georgia" w:hAnsi="Georgia" w:cs="Times New Roman"/>
          <w:sz w:val="24"/>
          <w:szCs w:val="24"/>
        </w:rPr>
        <w:t>Taylor, James Piers. “The Shadow Puppets of Elsinore: Edward Gordon Craig and the Cranach Press Hamlet.”</w:t>
      </w:r>
      <w:r w:rsidRPr="00F678CA">
        <w:rPr>
          <w:rFonts w:ascii="Georgia" w:hAnsi="Georgia" w:cs="Times New Roman"/>
          <w:i/>
          <w:sz w:val="24"/>
          <w:szCs w:val="24"/>
        </w:rPr>
        <w:t>Mine Journal</w:t>
      </w:r>
      <w:r w:rsidRPr="00F678CA">
        <w:rPr>
          <w:rFonts w:ascii="Georgia" w:hAnsi="Georgia" w:cs="Times New Roman"/>
          <w:sz w:val="24"/>
          <w:szCs w:val="24"/>
        </w:rPr>
        <w:t>,vol. 26,  article. 9, 28 Feb 2017. 60-77. DOI: 10.5642/mimejournal.20172601.09.</w:t>
      </w:r>
    </w:p>
    <w:p w:rsidR="00F678CA" w:rsidRPr="00F678CA" w:rsidRDefault="00F678CA" w:rsidP="00F678CA">
      <w:pPr>
        <w:widowControl w:val="0"/>
        <w:autoSpaceDE w:val="0"/>
        <w:autoSpaceDN w:val="0"/>
        <w:adjustRightInd w:val="0"/>
        <w:spacing w:line="276" w:lineRule="auto"/>
        <w:contextualSpacing/>
        <w:rPr>
          <w:rFonts w:ascii="Georgia" w:hAnsi="Georgia" w:cs="Times New Roman"/>
          <w:sz w:val="24"/>
          <w:szCs w:val="24"/>
          <w:lang w:val="en-IN"/>
        </w:rPr>
      </w:pPr>
    </w:p>
    <w:sectPr w:rsidR="00F678CA" w:rsidRPr="00F678CA" w:rsidSect="004F089B">
      <w:headerReference w:type="default" r:id="rId35"/>
      <w:footerReference w:type="default" r:id="rId36"/>
      <w:pgSz w:w="12240" w:h="15840"/>
      <w:pgMar w:top="3426" w:right="5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0278B" w:rsidRDefault="00B0278B" w:rsidP="002E2513">
      <w:r>
        <w:separator/>
      </w:r>
    </w:p>
  </w:endnote>
  <w:endnote w:type="continuationSeparator" w:id="1">
    <w:p w:rsidR="00B0278B" w:rsidRDefault="00B0278B" w:rsidP="002E2513">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2513" w:rsidRDefault="00046491" w:rsidP="00333C1E">
    <w:pPr>
      <w:pStyle w:val="Footer"/>
      <w:pBdr>
        <w:top w:val="thinThickSmallGap" w:sz="24" w:space="1" w:color="622423" w:themeColor="accent2" w:themeShade="7F"/>
      </w:pBdr>
      <w:tabs>
        <w:tab w:val="clear" w:pos="9360"/>
        <w:tab w:val="right" w:pos="9270"/>
      </w:tabs>
      <w:ind w:left="-540"/>
      <w:rPr>
        <w:rFonts w:asciiTheme="majorHAnsi" w:hAnsiTheme="majorHAnsi"/>
      </w:rPr>
    </w:pPr>
    <w:r w:rsidRPr="00046491">
      <w:rPr>
        <w:rFonts w:asciiTheme="majorHAnsi" w:hAnsiTheme="majorHAnsi"/>
        <w:noProof/>
        <w:lang w:val="en-IN" w:eastAsia="en-IN"/>
      </w:rPr>
      <w:drawing>
        <wp:anchor distT="0" distB="0" distL="114300" distR="114300" simplePos="0" relativeHeight="251659264" behindDoc="1" locked="0" layoutInCell="1" allowOverlap="1">
          <wp:simplePos x="0" y="0"/>
          <wp:positionH relativeFrom="column">
            <wp:posOffset>816491</wp:posOffset>
          </wp:positionH>
          <wp:positionV relativeFrom="paragraph">
            <wp:posOffset>110431</wp:posOffset>
          </wp:positionV>
          <wp:extent cx="4308402" cy="425302"/>
          <wp:effectExtent l="19050" t="0" r="0" b="0"/>
          <wp:wrapNone/>
          <wp:docPr id="8" name="Picture 2" descr="akademo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kademos 2.jpg"/>
                  <pic:cNvPicPr/>
                </pic:nvPicPr>
                <pic:blipFill>
                  <a:blip r:embed="rId1"/>
                  <a:stretch>
                    <a:fillRect/>
                  </a:stretch>
                </pic:blipFill>
                <pic:spPr>
                  <a:xfrm>
                    <a:off x="0" y="0"/>
                    <a:ext cx="4308402" cy="425302"/>
                  </a:xfrm>
                  <a:prstGeom prst="rect">
                    <a:avLst/>
                  </a:prstGeom>
                </pic:spPr>
              </pic:pic>
            </a:graphicData>
          </a:graphic>
        </wp:anchor>
      </w:drawing>
    </w:r>
    <w:r w:rsidRPr="00046491">
      <w:rPr>
        <w:rFonts w:asciiTheme="majorHAnsi" w:hAnsiTheme="majorHAnsi"/>
      </w:rPr>
      <w:t xml:space="preserve"> </w:t>
    </w:r>
    <w:r w:rsidR="00333C1E">
      <w:rPr>
        <w:rFonts w:asciiTheme="majorHAnsi" w:hAnsiTheme="majorHAnsi"/>
      </w:rPr>
      <w:t xml:space="preserve">                                                                                                                                                                                                    </w:t>
    </w:r>
    <w:r w:rsidR="002E2513">
      <w:rPr>
        <w:rFonts w:asciiTheme="majorHAnsi" w:hAnsiTheme="majorHAnsi"/>
      </w:rPr>
      <w:t xml:space="preserve">Page </w:t>
    </w:r>
    <w:fldSimple w:instr=" PAGE   \* MERGEFORMAT ">
      <w:r w:rsidR="002A355A" w:rsidRPr="002A355A">
        <w:rPr>
          <w:rFonts w:asciiTheme="majorHAnsi" w:hAnsiTheme="majorHAnsi"/>
          <w:noProof/>
        </w:rPr>
        <w:t>1</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0278B" w:rsidRDefault="00B0278B" w:rsidP="002E2513">
      <w:r>
        <w:separator/>
      </w:r>
    </w:p>
  </w:footnote>
  <w:footnote w:type="continuationSeparator" w:id="1">
    <w:p w:rsidR="00B0278B" w:rsidRDefault="00B0278B" w:rsidP="002E251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6491" w:rsidRDefault="004F089B">
    <w:pPr>
      <w:pStyle w:val="Header"/>
    </w:pPr>
    <w:r>
      <w:rPr>
        <w:noProof/>
        <w:lang w:val="en-IN" w:eastAsia="en-IN"/>
      </w:rPr>
      <w:drawing>
        <wp:anchor distT="0" distB="0" distL="114300" distR="114300" simplePos="0" relativeHeight="251660288" behindDoc="0" locked="0" layoutInCell="1" allowOverlap="1">
          <wp:simplePos x="0" y="0"/>
          <wp:positionH relativeFrom="column">
            <wp:posOffset>-967105</wp:posOffset>
          </wp:positionH>
          <wp:positionV relativeFrom="paragraph">
            <wp:posOffset>-425450</wp:posOffset>
          </wp:positionV>
          <wp:extent cx="7887970" cy="1392555"/>
          <wp:effectExtent l="19050" t="0" r="0" b="0"/>
          <wp:wrapThrough wrapText="bothSides">
            <wp:wrapPolygon edited="0">
              <wp:start x="-52" y="0"/>
              <wp:lineTo x="-52" y="21275"/>
              <wp:lineTo x="21597" y="21275"/>
              <wp:lineTo x="21597" y="0"/>
              <wp:lineTo x="-52" y="0"/>
            </wp:wrapPolygon>
          </wp:wrapThrough>
          <wp:docPr id="5" name="Picture 4" descr="akademo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kademos 1.jpg"/>
                  <pic:cNvPicPr/>
                </pic:nvPicPr>
                <pic:blipFill>
                  <a:blip r:embed="rId1"/>
                  <a:stretch>
                    <a:fillRect/>
                  </a:stretch>
                </pic:blipFill>
                <pic:spPr>
                  <a:xfrm>
                    <a:off x="0" y="0"/>
                    <a:ext cx="7887970" cy="1392555"/>
                  </a:xfrm>
                  <a:prstGeom prst="rect">
                    <a:avLst/>
                  </a:prstGeom>
                </pic:spPr>
              </pic:pic>
            </a:graphicData>
          </a:graphic>
        </wp:anchor>
      </w:drawing>
    </w:r>
    <w:r w:rsidR="00FC408C" w:rsidRPr="00FC408C">
      <w:rPr>
        <w:noProof/>
        <w:lang w:eastAsia="zh-TW"/>
      </w:rPr>
      <w:pict>
        <v:shapetype id="_x0000_t202" coordsize="21600,21600" o:spt="202" path="m,l,21600r21600,l21600,xe">
          <v:stroke joinstyle="miter"/>
          <v:path gradientshapeok="t" o:connecttype="rect"/>
        </v:shapetype>
        <v:shape id="_x0000_s2049" type="#_x0000_t202" style="position:absolute;left:0;text-align:left;margin-left:-78.7pt;margin-top:83.7pt;width:634.95pt;height:39.65pt;z-index:251662336;mso-position-horizontal-relative:text;mso-position-vertical-relative:text;mso-width-relative:margin;mso-height-relative:margin" stroked="f">
          <v:textbox style="mso-next-textbox:#_x0000_s2049">
            <w:txbxContent>
              <w:p w:rsidR="008A7974" w:rsidRDefault="008A7974" w:rsidP="008A7974">
                <w:pPr>
                  <w:widowControl w:val="0"/>
                  <w:pBdr>
                    <w:bottom w:val="single" w:sz="4" w:space="1" w:color="auto"/>
                  </w:pBdr>
                  <w:shd w:val="clear" w:color="auto" w:fill="000000" w:themeFill="text1"/>
                  <w:autoSpaceDE w:val="0"/>
                  <w:autoSpaceDN w:val="0"/>
                  <w:adjustRightInd w:val="0"/>
                  <w:ind w:left="-180" w:firstLine="180"/>
                  <w:rPr>
                    <w:sz w:val="18"/>
                    <w:szCs w:val="18"/>
                  </w:rPr>
                </w:pPr>
                <w:r>
                  <w:rPr>
                    <w:sz w:val="18"/>
                    <w:szCs w:val="18"/>
                  </w:rPr>
                  <w:t xml:space="preserve">                      ISSN : 2583-2875                                                                                              Vol.- II                                                                            ISSUE– I (January, 2022)</w:t>
                </w:r>
              </w:p>
              <w:p w:rsidR="00CE5865" w:rsidRDefault="00CE5865" w:rsidP="004F089B">
                <w:pPr>
                  <w:widowControl w:val="0"/>
                  <w:autoSpaceDE w:val="0"/>
                  <w:autoSpaceDN w:val="0"/>
                  <w:adjustRightInd w:val="0"/>
                  <w:contextualSpacing/>
                </w:pPr>
              </w:p>
              <w:p w:rsidR="00CE5865" w:rsidRDefault="00CE5865" w:rsidP="00050F1F">
                <w:pPr>
                  <w:widowControl w:val="0"/>
                  <w:autoSpaceDE w:val="0"/>
                  <w:autoSpaceDN w:val="0"/>
                  <w:adjustRightInd w:val="0"/>
                  <w:contextualSpacing/>
                  <w:rPr>
                    <w:sz w:val="18"/>
                    <w:szCs w:val="18"/>
                  </w:rPr>
                </w:pPr>
              </w:p>
            </w:txbxContent>
          </v:textbox>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characterSpacingControl w:val="doNotCompress"/>
  <w:hdrShapeDefaults>
    <o:shapedefaults v:ext="edit" spidmax="12290"/>
    <o:shapelayout v:ext="edit">
      <o:idmap v:ext="edit" data="2"/>
    </o:shapelayout>
  </w:hdrShapeDefaults>
  <w:footnotePr>
    <w:footnote w:id="0"/>
    <w:footnote w:id="1"/>
  </w:footnotePr>
  <w:endnotePr>
    <w:endnote w:id="0"/>
    <w:endnote w:id="1"/>
  </w:endnotePr>
  <w:compat/>
  <w:rsids>
    <w:rsidRoot w:val="00D863F2"/>
    <w:rsid w:val="00046491"/>
    <w:rsid w:val="00050F1F"/>
    <w:rsid w:val="001A031D"/>
    <w:rsid w:val="001B5E63"/>
    <w:rsid w:val="001F2473"/>
    <w:rsid w:val="00202C81"/>
    <w:rsid w:val="00264A11"/>
    <w:rsid w:val="002A355A"/>
    <w:rsid w:val="002E2513"/>
    <w:rsid w:val="00333C1E"/>
    <w:rsid w:val="00355352"/>
    <w:rsid w:val="0045409B"/>
    <w:rsid w:val="004F089B"/>
    <w:rsid w:val="00501482"/>
    <w:rsid w:val="00541581"/>
    <w:rsid w:val="00552380"/>
    <w:rsid w:val="005C08F8"/>
    <w:rsid w:val="00670D4F"/>
    <w:rsid w:val="006B5ADE"/>
    <w:rsid w:val="00776AAD"/>
    <w:rsid w:val="00842C28"/>
    <w:rsid w:val="0087676A"/>
    <w:rsid w:val="008A7974"/>
    <w:rsid w:val="008D27C0"/>
    <w:rsid w:val="008E1AAC"/>
    <w:rsid w:val="00925E9D"/>
    <w:rsid w:val="0095290C"/>
    <w:rsid w:val="00A22A0C"/>
    <w:rsid w:val="00A23CF4"/>
    <w:rsid w:val="00AC64E4"/>
    <w:rsid w:val="00B0278B"/>
    <w:rsid w:val="00B3553D"/>
    <w:rsid w:val="00B476F7"/>
    <w:rsid w:val="00B70E6A"/>
    <w:rsid w:val="00B77B95"/>
    <w:rsid w:val="00BB2B03"/>
    <w:rsid w:val="00C01F21"/>
    <w:rsid w:val="00C04D5A"/>
    <w:rsid w:val="00C70EA6"/>
    <w:rsid w:val="00C8312C"/>
    <w:rsid w:val="00CC26D5"/>
    <w:rsid w:val="00CD3649"/>
    <w:rsid w:val="00CE5865"/>
    <w:rsid w:val="00CF6486"/>
    <w:rsid w:val="00D863F2"/>
    <w:rsid w:val="00DA4882"/>
    <w:rsid w:val="00E2424A"/>
    <w:rsid w:val="00E41B20"/>
    <w:rsid w:val="00E43F0C"/>
    <w:rsid w:val="00E63062"/>
    <w:rsid w:val="00F678CA"/>
    <w:rsid w:val="00F859EE"/>
    <w:rsid w:val="00F8728D"/>
    <w:rsid w:val="00FC408C"/>
    <w:rsid w:val="00FC7FD5"/>
  </w:rsids>
  <m:mathPr>
    <m:mathFont m:val="Cambria Math"/>
    <m:brkBin m:val="before"/>
    <m:brkBinSub m:val="--"/>
    <m:smallFrac m:val="off"/>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26D5"/>
    <w:pPr>
      <w:spacing w:after="0" w:line="240" w:lineRule="auto"/>
      <w:jc w:val="both"/>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55352"/>
    <w:rPr>
      <w:rFonts w:ascii="Tahoma" w:hAnsi="Tahoma" w:cs="Tahoma"/>
      <w:sz w:val="16"/>
      <w:szCs w:val="16"/>
    </w:rPr>
  </w:style>
  <w:style w:type="character" w:customStyle="1" w:styleId="BalloonTextChar">
    <w:name w:val="Balloon Text Char"/>
    <w:basedOn w:val="DefaultParagraphFont"/>
    <w:link w:val="BalloonText"/>
    <w:uiPriority w:val="99"/>
    <w:semiHidden/>
    <w:rsid w:val="00355352"/>
    <w:rPr>
      <w:rFonts w:ascii="Tahoma" w:hAnsi="Tahoma" w:cs="Tahoma"/>
      <w:sz w:val="16"/>
      <w:szCs w:val="16"/>
    </w:rPr>
  </w:style>
  <w:style w:type="paragraph" w:styleId="Header">
    <w:name w:val="header"/>
    <w:basedOn w:val="Normal"/>
    <w:link w:val="HeaderChar"/>
    <w:uiPriority w:val="99"/>
    <w:unhideWhenUsed/>
    <w:rsid w:val="002E2513"/>
    <w:pPr>
      <w:tabs>
        <w:tab w:val="center" w:pos="4680"/>
        <w:tab w:val="right" w:pos="9360"/>
      </w:tabs>
    </w:pPr>
  </w:style>
  <w:style w:type="character" w:customStyle="1" w:styleId="HeaderChar">
    <w:name w:val="Header Char"/>
    <w:basedOn w:val="DefaultParagraphFont"/>
    <w:link w:val="Header"/>
    <w:uiPriority w:val="99"/>
    <w:rsid w:val="002E2513"/>
  </w:style>
  <w:style w:type="paragraph" w:styleId="Footer">
    <w:name w:val="footer"/>
    <w:basedOn w:val="Normal"/>
    <w:link w:val="FooterChar"/>
    <w:uiPriority w:val="99"/>
    <w:unhideWhenUsed/>
    <w:rsid w:val="002E2513"/>
    <w:pPr>
      <w:tabs>
        <w:tab w:val="center" w:pos="4680"/>
        <w:tab w:val="right" w:pos="9360"/>
      </w:tabs>
    </w:pPr>
  </w:style>
  <w:style w:type="character" w:customStyle="1" w:styleId="FooterChar">
    <w:name w:val="Footer Char"/>
    <w:basedOn w:val="DefaultParagraphFont"/>
    <w:link w:val="Footer"/>
    <w:uiPriority w:val="99"/>
    <w:rsid w:val="002E2513"/>
  </w:style>
  <w:style w:type="character" w:styleId="Hyperlink">
    <w:name w:val="Hyperlink"/>
    <w:basedOn w:val="DefaultParagraphFont"/>
    <w:uiPriority w:val="99"/>
    <w:unhideWhenUsed/>
    <w:rsid w:val="00670D4F"/>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britannica.com/topic/printing-publishing" TargetMode="External"/><Relationship Id="rId13" Type="http://schemas.openxmlformats.org/officeDocument/2006/relationships/hyperlink" Target="http://www.historyofinformation.com/detail.php?id=4473" TargetMode="External"/><Relationship Id="rId18" Type="http://schemas.openxmlformats.org/officeDocument/2006/relationships/image" Target="media/image2.jpeg"/><Relationship Id="rId26" Type="http://schemas.openxmlformats.org/officeDocument/2006/relationships/hyperlink" Target="https://archive.org/details/cu31924026417984" TargetMode="External"/><Relationship Id="rId3" Type="http://schemas.openxmlformats.org/officeDocument/2006/relationships/settings" Target="settings.xml"/><Relationship Id="rId21" Type="http://schemas.openxmlformats.org/officeDocument/2006/relationships/image" Target="media/image5.png"/><Relationship Id="rId34" Type="http://schemas.openxmlformats.org/officeDocument/2006/relationships/hyperlink" Target="http://exhibits.lib.udel.edu/exhibits/show/shakespeare-through-the-ages/shakespeare-and-the-private-pr" TargetMode="External"/><Relationship Id="rId7" Type="http://schemas.openxmlformats.org/officeDocument/2006/relationships/hyperlink" Target="https://www.britannica.com/event/Industrial-Revolution" TargetMode="External"/><Relationship Id="rId12" Type="http://schemas.openxmlformats.org/officeDocument/2006/relationships/hyperlink" Target="http://www.britannica.com/technology/typography/The-private-press-movement" TargetMode="External"/><Relationship Id="rId17" Type="http://schemas.openxmlformats.org/officeDocument/2006/relationships/image" Target="media/image1.jpeg"/><Relationship Id="rId25" Type="http://schemas.openxmlformats.org/officeDocument/2006/relationships/hyperlink" Target="http://www.bl.uk/collection-items/hamlet-published-by-the-cranach-presse" TargetMode="External"/><Relationship Id="rId33" Type="http://schemas.openxmlformats.org/officeDocument/2006/relationships/hyperlink" Target="http://exhibits.lib.udel.edu/exhibits/show/shakespeare-through-the-ages" TargetMode="Externa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www.historyofinformation.com/detail.php?id=4473" TargetMode="External"/><Relationship Id="rId20" Type="http://schemas.openxmlformats.org/officeDocument/2006/relationships/image" Target="media/image4.jpeg"/><Relationship Id="rId29" Type="http://schemas.openxmlformats.org/officeDocument/2006/relationships/hyperlink" Target="http://www.metmuseum.org/toah/works-of-art/24.65.2/"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www.merriam-webster.com/dictionary/inhibit" TargetMode="External"/><Relationship Id="rId24" Type="http://schemas.openxmlformats.org/officeDocument/2006/relationships/image" Target="media/image8.png"/><Relationship Id="rId32" Type="http://schemas.openxmlformats.org/officeDocument/2006/relationships/hyperlink" Target="http://www.britannica.com/technology/typography/The-private-press-movement.%205%20Dec%202020" TargetMode="External"/><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exhibits.lib.udel.edu/" TargetMode="External"/><Relationship Id="rId23" Type="http://schemas.openxmlformats.org/officeDocument/2006/relationships/image" Target="media/image7.png"/><Relationship Id="rId28" Type="http://schemas.openxmlformats.org/officeDocument/2006/relationships/hyperlink" Target="http://www.nypl.org/blog/2014/11/14/cranach-press-hamlet" TargetMode="External"/><Relationship Id="rId36" Type="http://schemas.openxmlformats.org/officeDocument/2006/relationships/footer" Target="footer1.xml"/><Relationship Id="rId10" Type="http://schemas.openxmlformats.org/officeDocument/2006/relationships/hyperlink" Target="https://www.britannica.com/technology/typesetting-machine" TargetMode="External"/><Relationship Id="rId19" Type="http://schemas.openxmlformats.org/officeDocument/2006/relationships/image" Target="media/image3.png"/><Relationship Id="rId31" Type="http://schemas.openxmlformats.org/officeDocument/2006/relationships/hyperlink" Target="http://www.historyofinformation.com/detail.php?id=4473" TargetMode="External"/><Relationship Id="rId4" Type="http://schemas.openxmlformats.org/officeDocument/2006/relationships/webSettings" Target="webSettings.xml"/><Relationship Id="rId9" Type="http://schemas.openxmlformats.org/officeDocument/2006/relationships/hyperlink" Target="https://www.merriam-webster.com/dictionary/composition" TargetMode="External"/><Relationship Id="rId14" Type="http://schemas.openxmlformats.org/officeDocument/2006/relationships/hyperlink" Target="http://exhibits.lib.udel.edu/" TargetMode="External"/><Relationship Id="rId22" Type="http://schemas.openxmlformats.org/officeDocument/2006/relationships/image" Target="media/image6.png"/><Relationship Id="rId27" Type="http://schemas.openxmlformats.org/officeDocument/2006/relationships/hyperlink" Target="http://www.nypl.org/blog/2014/11/14/cranach-press-hamlet" TargetMode="External"/><Relationship Id="rId30" Type="http://schemas.openxmlformats.org/officeDocument/2006/relationships/hyperlink" Target="https://digitalcollections.usfca.edu/digital/collection/p264101coll7/id/3436" TargetMode="External"/><Relationship Id="rId35"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0.jpeg"/></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D5C258-37A0-4C7B-B142-6F4C79F5DD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5406</Words>
  <Characters>30816</Characters>
  <Application>Microsoft Office Word</Application>
  <DocSecurity>0</DocSecurity>
  <Lines>256</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36150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 Collection</dc:creator>
  <cp:lastModifiedBy>User</cp:lastModifiedBy>
  <cp:revision>2</cp:revision>
  <dcterms:created xsi:type="dcterms:W3CDTF">2022-04-05T06:34:00Z</dcterms:created>
  <dcterms:modified xsi:type="dcterms:W3CDTF">2022-04-05T06:34:00Z</dcterms:modified>
</cp:coreProperties>
</file>